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69" w:lineRule="auto"/>
        <w:rPr>
          <w:rFonts w:ascii="Arial"/>
          <w:sz w:val="21"/>
        </w:rPr>
      </w:pPr>
      <w:bookmarkStart w:id="0" w:name="_GoBack"/>
      <w:bookmarkEnd w:id="0"/>
      <w:r>
        <w:pict>
          <v:group id="_x0000_s1026" o:spid="_x0000_s1026" o:spt="203" style="position:absolute;left:0pt;margin-left:302pt;margin-top:393.4pt;height:159.1pt;width:233.55pt;mso-position-horizontal-relative:page;mso-position-vertical-relative:page;z-index:251660288;mso-width-relative:page;mso-height-relative:page;" coordsize="4671,3182" o:allowincell="f">
            <o:lock v:ext="edit"/>
            <v:shape id="_x0000_s1027" o:spid="_x0000_s1027" o:spt="75" type="#_x0000_t75" style="position:absolute;left:0;top:141;height:3040;width:4671;" filled="f" stroked="f" coordsize="21600,21600">
              <v:path/>
              <v:fill on="f" focussize="0,0"/>
              <v:stroke on="f"/>
              <v:imagedata r:id="rId10" o:title=""/>
              <o:lock v:ext="edit" aspectratio="t"/>
            </v:shape>
            <v:shape id="_x0000_s1028" o:spid="_x0000_s1028" o:spt="202" type="#_x0000_t202" style="position:absolute;left:-20;top:-20;height:3242;width:4711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pStyle w:val="2"/>
                      <w:spacing w:before="19" w:line="213" w:lineRule="auto"/>
                      <w:ind w:left="99"/>
                    </w:pPr>
                    <w:r>
                      <w:rPr>
                        <w:spacing w:val="-3"/>
                      </w:rPr>
                      <w:t>能发电云廊，仅项目一期屋盖的总发电量就</w:t>
                    </w:r>
                    <w:r>
                      <w:rPr>
                        <w:spacing w:val="-4"/>
                      </w:rPr>
                      <w:t>可达1</w:t>
                    </w:r>
                    <w:r>
                      <w:rPr>
                        <w:spacing w:val="-18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兆瓦左右。</w:t>
                    </w:r>
                  </w:p>
                  <w:p>
                    <w:pPr>
                      <w:spacing w:before="60"/>
                      <w:ind w:left="99"/>
                      <w:rPr>
                        <w:rFonts w:ascii="Arial" w:hAnsi="Arial" w:eastAsia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hAnsi="Arial" w:eastAsia="Arial" w:cs="Arial"/>
                        <w:b/>
                        <w:bCs/>
                        <w:spacing w:val="-2"/>
                        <w:sz w:val="10"/>
                        <w:szCs w:val="10"/>
                      </w:rPr>
                      <w:t>A:Static Structural</w:t>
                    </w:r>
                  </w:p>
                  <w:p>
                    <w:pPr>
                      <w:spacing w:line="188" w:lineRule="auto"/>
                      <w:ind w:left="99"/>
                      <w:rPr>
                        <w:rFonts w:ascii="Times New Roman" w:hAnsi="Times New Roman" w:eastAsia="Times New Roman" w:cs="Times New Roman"/>
                        <w:sz w:val="10"/>
                        <w:szCs w:val="1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bCs/>
                        <w:spacing w:val="-5"/>
                        <w:sz w:val="10"/>
                        <w:szCs w:val="10"/>
                      </w:rPr>
                      <w:t>Total Deformatian</w:t>
                    </w:r>
                  </w:p>
                  <w:p>
                    <w:pPr>
                      <w:spacing w:before="247" w:line="192" w:lineRule="auto"/>
                      <w:ind w:left="99"/>
                      <w:rPr>
                        <w:rFonts w:ascii="Times New Roman" w:hAnsi="Times New Roman" w:eastAsia="Times New Roman" w:cs="Times New Roman"/>
                        <w:sz w:val="10"/>
                        <w:szCs w:val="1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pacing w:val="-1"/>
                        <w:sz w:val="10"/>
                        <w:szCs w:val="10"/>
                      </w:rPr>
                      <w:t>Time:1</w:t>
                    </w:r>
                  </w:p>
                  <w:p>
                    <w:pPr>
                      <w:spacing w:before="7" w:line="224" w:lineRule="auto"/>
                      <w:ind w:left="99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spacing w:val="-1"/>
                        <w:sz w:val="10"/>
                        <w:szCs w:val="10"/>
                      </w:rPr>
                      <w:t>2023/5/2716:07</w:t>
                    </w:r>
                  </w:p>
                  <w:p>
                    <w:pPr>
                      <w:spacing w:before="130" w:line="183" w:lineRule="auto"/>
                      <w:ind w:left="331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b/>
                        <w:bCs/>
                        <w:spacing w:val="-2"/>
                        <w:sz w:val="10"/>
                        <w:szCs w:val="10"/>
                      </w:rPr>
                      <w:t>20.503</w:t>
                    </w:r>
                    <w:r>
                      <w:rPr>
                        <w:rFonts w:ascii="宋体" w:hAnsi="宋体" w:eastAsia="宋体" w:cs="宋体"/>
                        <w:spacing w:val="-2"/>
                        <w:sz w:val="10"/>
                        <w:szCs w:val="1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b/>
                        <w:bCs/>
                        <w:spacing w:val="-2"/>
                        <w:sz w:val="10"/>
                        <w:szCs w:val="10"/>
                      </w:rPr>
                      <w:t>Max</w:t>
                    </w:r>
                  </w:p>
                  <w:p>
                    <w:pPr>
                      <w:spacing w:before="32" w:line="184" w:lineRule="auto"/>
                      <w:ind w:left="33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color w:val="61729C"/>
                        <w:spacing w:val="-2"/>
                        <w:sz w:val="10"/>
                        <w:szCs w:val="10"/>
                      </w:rPr>
                      <w:t>18.225</w:t>
                    </w:r>
                  </w:p>
                  <w:p>
                    <w:pPr>
                      <w:spacing w:before="30" w:line="184" w:lineRule="auto"/>
                      <w:ind w:left="33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spacing w:val="-2"/>
                        <w:sz w:val="10"/>
                        <w:szCs w:val="10"/>
                      </w:rPr>
                      <w:t>15.947</w:t>
                    </w:r>
                  </w:p>
                  <w:p>
                    <w:pPr>
                      <w:spacing w:before="29" w:line="184" w:lineRule="auto"/>
                      <w:ind w:left="33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color w:val="627093"/>
                        <w:spacing w:val="-2"/>
                        <w:sz w:val="10"/>
                        <w:szCs w:val="10"/>
                      </w:rPr>
                      <w:t>13,568</w:t>
                    </w:r>
                  </w:p>
                  <w:p>
                    <w:pPr>
                      <w:spacing w:before="22" w:line="184" w:lineRule="auto"/>
                      <w:ind w:left="33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color w:val="586682"/>
                        <w:spacing w:val="-2"/>
                        <w:sz w:val="10"/>
                        <w:szCs w:val="10"/>
                      </w:rPr>
                      <w:t>11.39</w:t>
                    </w:r>
                  </w:p>
                  <w:p>
                    <w:pPr>
                      <w:spacing w:before="20" w:line="184" w:lineRule="auto"/>
                      <w:ind w:left="33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color w:val="5A6883"/>
                        <w:spacing w:val="-1"/>
                        <w:sz w:val="10"/>
                        <w:szCs w:val="10"/>
                      </w:rPr>
                      <w:t>9.1123</w:t>
                    </w:r>
                  </w:p>
                  <w:p>
                    <w:pPr>
                      <w:spacing w:before="41" w:line="183" w:lineRule="auto"/>
                      <w:ind w:left="33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color w:val="5B6780"/>
                        <w:spacing w:val="-1"/>
                        <w:sz w:val="10"/>
                        <w:szCs w:val="10"/>
                      </w:rPr>
                      <w:t>6.8342</w:t>
                    </w:r>
                  </w:p>
                  <w:p>
                    <w:pPr>
                      <w:spacing w:before="41" w:line="221" w:lineRule="auto"/>
                      <w:ind w:left="33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spacing w:val="-4"/>
                        <w:sz w:val="10"/>
                        <w:szCs w:val="10"/>
                      </w:rPr>
                      <w:t>4.5562</w:t>
                    </w:r>
                  </w:p>
                  <w:p>
                    <w:pPr>
                      <w:spacing w:line="183" w:lineRule="auto"/>
                      <w:ind w:left="33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spacing w:val="-1"/>
                        <w:sz w:val="10"/>
                        <w:szCs w:val="10"/>
                      </w:rPr>
                      <w:t>2.2781</w:t>
                    </w:r>
                  </w:p>
                  <w:p>
                    <w:pPr>
                      <w:spacing w:before="37" w:line="196" w:lineRule="auto"/>
                      <w:ind w:left="330"/>
                      <w:rPr>
                        <w:rFonts w:ascii="Arial" w:hAnsi="Arial" w:eastAsia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hAnsi="Arial" w:eastAsia="Arial" w:cs="Arial"/>
                        <w:color w:val="2D323C"/>
                        <w:spacing w:val="-3"/>
                        <w:sz w:val="10"/>
                        <w:szCs w:val="10"/>
                      </w:rPr>
                      <w:t>0</w:t>
                    </w:r>
                    <w:r>
                      <w:rPr>
                        <w:rFonts w:ascii="Arial" w:hAnsi="Arial" w:eastAsia="Arial" w:cs="Arial"/>
                        <w:color w:val="2D323C"/>
                        <w:spacing w:val="9"/>
                        <w:sz w:val="10"/>
                        <w:szCs w:val="10"/>
                      </w:rPr>
                      <w:t xml:space="preserve">  </w:t>
                    </w:r>
                    <w:r>
                      <w:rPr>
                        <w:rFonts w:ascii="Arial" w:hAnsi="Arial" w:eastAsia="Arial" w:cs="Arial"/>
                        <w:color w:val="2D323C"/>
                        <w:spacing w:val="-3"/>
                        <w:sz w:val="10"/>
                        <w:szCs w:val="10"/>
                      </w:rPr>
                      <w:t>Min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7041515</wp:posOffset>
            </wp:positionH>
            <wp:positionV relativeFrom="page">
              <wp:posOffset>6699250</wp:posOffset>
            </wp:positionV>
            <wp:extent cx="2952750" cy="245110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52768" cy="245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9" o:spid="_x0000_s1029" o:spt="202" type="#_x0000_t202" style="position:absolute;left:0pt;margin-left:651.1pt;margin-top:723.15pt;height:12.25pt;width:40pt;mso-position-horizontal-relative:page;mso-position-vertical-relative:page;z-index:251665408;mso-width-relative:page;mso-height-relative:page;" filled="f" stroked="f" coordsize="21600,21600" o:allowincell="f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pStyle w:val="2"/>
                    <w:spacing w:before="19" w:line="222" w:lineRule="auto"/>
                    <w:ind w:right="1"/>
                    <w:jc w:val="right"/>
                  </w:pPr>
                  <w:r>
                    <w:rPr>
                      <w:b/>
                      <w:bCs/>
                      <w:color w:val="02A046"/>
                      <w:spacing w:val="-17"/>
                    </w:rPr>
                    <w:t>现场航拍图</w:t>
                  </w:r>
                </w:p>
              </w:txbxContent>
            </v:textbox>
          </v:shape>
        </w:pict>
      </w:r>
    </w:p>
    <w:p>
      <w:pPr>
        <w:spacing w:line="269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30" w:lineRule="exact"/>
        <w:ind w:firstLine="400"/>
      </w:pPr>
      <w:r>
        <w:rPr>
          <w:position w:val="-4"/>
        </w:rPr>
        <w:drawing>
          <wp:inline distT="0" distB="0" distL="0" distR="0">
            <wp:extent cx="202565" cy="145415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3174" cy="146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282" w:lineRule="auto"/>
        <w:rPr>
          <w:rFonts w:ascii="Arial"/>
          <w:sz w:val="21"/>
        </w:rPr>
      </w:pPr>
    </w:p>
    <w:p>
      <w:pPr>
        <w:spacing w:line="282" w:lineRule="auto"/>
        <w:rPr>
          <w:rFonts w:ascii="Arial"/>
          <w:sz w:val="21"/>
        </w:rPr>
      </w:pPr>
    </w:p>
    <w:p>
      <w:pPr>
        <w:spacing w:before="163" w:line="242" w:lineRule="auto"/>
        <w:ind w:right="251"/>
        <w:jc w:val="both"/>
        <w:rPr>
          <w:rFonts w:ascii="华文行楷" w:hAnsi="华文行楷" w:eastAsia="华文行楷" w:cs="华文行楷"/>
          <w:sz w:val="53"/>
          <w:szCs w:val="53"/>
        </w:rPr>
      </w:pPr>
      <w:r>
        <w:rPr>
          <w:rFonts w:ascii="华文行楷" w:hAnsi="华文行楷" w:eastAsia="华文行楷" w:cs="华文行楷"/>
          <w:b/>
          <w:bCs/>
          <w:spacing w:val="-52"/>
          <w:sz w:val="48"/>
          <w:szCs w:val="48"/>
        </w:rPr>
        <w:t>厚</w:t>
      </w:r>
      <w:r>
        <w:rPr>
          <w:rFonts w:ascii="华文行楷" w:hAnsi="华文行楷" w:eastAsia="华文行楷" w:cs="华文行楷"/>
          <w:spacing w:val="89"/>
          <w:sz w:val="48"/>
          <w:szCs w:val="48"/>
        </w:rPr>
        <w:t xml:space="preserve"> </w:t>
      </w:r>
      <w:r>
        <w:rPr>
          <w:rFonts w:ascii="华文行楷" w:hAnsi="华文行楷" w:eastAsia="华文行楷" w:cs="华文行楷"/>
          <w:b/>
          <w:bCs/>
          <w:spacing w:val="-52"/>
          <w:sz w:val="48"/>
          <w:szCs w:val="48"/>
        </w:rPr>
        <w:t>德</w:t>
      </w:r>
      <w:r>
        <w:rPr>
          <w:rFonts w:ascii="华文行楷" w:hAnsi="华文行楷" w:eastAsia="华文行楷" w:cs="华文行楷"/>
          <w:sz w:val="48"/>
          <w:szCs w:val="48"/>
        </w:rPr>
        <w:t xml:space="preserve"> </w:t>
      </w:r>
      <w:r>
        <w:rPr>
          <w:rFonts w:ascii="华文行楷" w:hAnsi="华文行楷" w:eastAsia="华文行楷" w:cs="华文行楷"/>
          <w:b/>
          <w:bCs/>
          <w:spacing w:val="25"/>
          <w:sz w:val="53"/>
          <w:szCs w:val="53"/>
        </w:rPr>
        <w:t>安全</w:t>
      </w:r>
    </w:p>
    <w:p>
      <w:pPr>
        <w:spacing w:before="2" w:line="191" w:lineRule="auto"/>
        <w:rPr>
          <w:rFonts w:ascii="华文行楷" w:hAnsi="华文行楷" w:eastAsia="华文行楷" w:cs="华文行楷"/>
          <w:sz w:val="53"/>
          <w:szCs w:val="53"/>
        </w:rPr>
      </w:pPr>
      <w:r>
        <w:rPr>
          <w:rFonts w:ascii="华文行楷" w:hAnsi="华文行楷" w:eastAsia="华文行楷" w:cs="华文行楷"/>
          <w:b/>
          <w:bCs/>
          <w:spacing w:val="-15"/>
          <w:sz w:val="53"/>
          <w:szCs w:val="53"/>
        </w:rPr>
        <w:t>单越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5"/>
        <w:tblW w:w="9319" w:type="dxa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19"/>
      </w:tblGrid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5" w:hRule="atLeast"/>
        </w:trPr>
        <w:tc>
          <w:tcPr>
            <w:tcW w:w="9319" w:type="dxa"/>
            <w:tcBorders>
              <w:bottom w:val="single" w:color="000000" w:sz="2" w:space="0"/>
            </w:tcBorders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  <w:r>
              <w:drawing>
                <wp:anchor distT="0" distB="0" distL="0" distR="0" simplePos="0" relativeHeight="251662336" behindDoc="0" locked="0" layoutInCell="1" allowOverlap="1">
                  <wp:simplePos x="0" y="0"/>
                  <wp:positionH relativeFrom="rightMargin">
                    <wp:posOffset>-1916430</wp:posOffset>
                  </wp:positionH>
                  <wp:positionV relativeFrom="topMargin">
                    <wp:posOffset>-635</wp:posOffset>
                  </wp:positionV>
                  <wp:extent cx="1143000" cy="1409700"/>
                  <wp:effectExtent l="0" t="0" r="0" b="0"/>
                  <wp:wrapNone/>
                  <wp:docPr id="6" name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 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910" cy="1409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66432" behindDoc="0" locked="0" layoutInCell="1" allowOverlap="1">
                  <wp:simplePos x="0" y="0"/>
                  <wp:positionH relativeFrom="rightMargin">
                    <wp:posOffset>-3910965</wp:posOffset>
                  </wp:positionH>
                  <wp:positionV relativeFrom="topMargin">
                    <wp:posOffset>722630</wp:posOffset>
                  </wp:positionV>
                  <wp:extent cx="95250" cy="120650"/>
                  <wp:effectExtent l="0" t="0" r="0" b="0"/>
                  <wp:wrapNone/>
                  <wp:docPr id="8" name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 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77" cy="120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spacing w:line="301" w:lineRule="auto"/>
              <w:rPr>
                <w:rFonts w:ascii="Arial"/>
                <w:sz w:val="21"/>
              </w:rPr>
            </w:pPr>
          </w:p>
          <w:p>
            <w:pPr>
              <w:spacing w:line="301" w:lineRule="auto"/>
              <w:rPr>
                <w:rFonts w:ascii="Arial"/>
                <w:sz w:val="21"/>
              </w:rPr>
            </w:pPr>
          </w:p>
          <w:p>
            <w:pPr>
              <w:spacing w:line="1000" w:lineRule="exact"/>
              <w:ind w:firstLine="8340"/>
            </w:pPr>
            <w:r>
              <w:rPr>
                <w:position w:val="-20"/>
              </w:rPr>
              <w:drawing>
                <wp:inline distT="0" distB="0" distL="0" distR="0">
                  <wp:extent cx="621030" cy="635000"/>
                  <wp:effectExtent l="0" t="0" r="0" b="0"/>
                  <wp:docPr id="10" name="IM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 1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658" cy="635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62" w:line="198" w:lineRule="auto"/>
              <w:ind w:left="8439"/>
              <w:rPr>
                <w:rFonts w:ascii="Arial" w:hAnsi="Arial" w:eastAsia="Arial" w:cs="Arial"/>
                <w:sz w:val="17"/>
                <w:szCs w:val="17"/>
              </w:rPr>
            </w:pPr>
            <w:r>
              <w:rPr>
                <w:rFonts w:ascii="Arial" w:hAnsi="Arial" w:eastAsia="Arial" w:cs="Arial"/>
                <w:b/>
                <w:bCs/>
                <w:spacing w:val="-11"/>
                <w:sz w:val="17"/>
                <w:szCs w:val="17"/>
              </w:rPr>
              <w:t>TAT</w:t>
            </w:r>
            <w:r>
              <w:rPr>
                <w:rFonts w:ascii="Arial" w:hAnsi="Arial" w:eastAsia="Arial" w:cs="Arial"/>
                <w:b/>
                <w:bCs/>
                <w:spacing w:val="11"/>
                <w:w w:val="101"/>
                <w:sz w:val="17"/>
                <w:szCs w:val="17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spacing w:val="-11"/>
                <w:sz w:val="17"/>
                <w:szCs w:val="17"/>
              </w:rPr>
              <w:t>HONG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9319" w:type="dxa"/>
            <w:tcBorders>
              <w:top w:val="single" w:color="000000" w:sz="2" w:space="0"/>
              <w:bottom w:val="single" w:color="008000" w:sz="4" w:space="0"/>
            </w:tcBorders>
            <w:vAlign w:val="top"/>
          </w:tcPr>
          <w:p>
            <w:pPr>
              <w:spacing w:before="80"/>
              <w:ind w:left="89"/>
              <w:rPr>
                <w:rFonts w:ascii="Arial" w:hAnsi="Arial" w:eastAsia="Arial" w:cs="Arial"/>
                <w:sz w:val="17"/>
                <w:szCs w:val="17"/>
              </w:rPr>
            </w:pPr>
            <w:r>
              <w:rPr>
                <w:rFonts w:ascii="黑体" w:hAnsi="黑体" w:eastAsia="黑体" w:cs="黑体"/>
                <w:spacing w:val="10"/>
                <w:sz w:val="21"/>
                <w:szCs w:val="21"/>
              </w:rPr>
              <w:t>2023年内刊第4期总第57期|主办：中核</w:t>
            </w:r>
            <w:r>
              <w:rPr>
                <w:rFonts w:ascii="黑体" w:hAnsi="黑体" w:eastAsia="黑体" w:cs="黑体"/>
                <w:spacing w:val="9"/>
                <w:sz w:val="21"/>
                <w:szCs w:val="21"/>
              </w:rPr>
              <w:t>華興達豐機械工程有限公司企管部|</w:t>
            </w:r>
            <w:r>
              <w:rPr>
                <w:rFonts w:ascii="Arial" w:hAnsi="Arial" w:eastAsia="Arial" w:cs="Arial"/>
                <w:position w:val="-2"/>
                <w:sz w:val="17"/>
                <w:szCs w:val="17"/>
              </w:rPr>
              <w:t>www</w:t>
            </w:r>
            <w:r>
              <w:rPr>
                <w:rFonts w:ascii="Arial" w:hAnsi="Arial" w:eastAsia="Arial" w:cs="Arial"/>
                <w:spacing w:val="9"/>
                <w:position w:val="-2"/>
                <w:sz w:val="17"/>
                <w:szCs w:val="17"/>
              </w:rPr>
              <w:t>.</w:t>
            </w:r>
            <w:r>
              <w:rPr>
                <w:rFonts w:ascii="Arial" w:hAnsi="Arial" w:eastAsia="Arial" w:cs="Arial"/>
                <w:position w:val="-2"/>
                <w:sz w:val="17"/>
                <w:szCs w:val="17"/>
              </w:rPr>
              <w:t>hxtathong</w:t>
            </w:r>
            <w:r>
              <w:rPr>
                <w:rFonts w:ascii="Arial" w:hAnsi="Arial" w:eastAsia="Arial" w:cs="Arial"/>
                <w:spacing w:val="9"/>
                <w:position w:val="-2"/>
                <w:sz w:val="17"/>
                <w:szCs w:val="17"/>
              </w:rPr>
              <w:t>.</w:t>
            </w:r>
            <w:r>
              <w:rPr>
                <w:rFonts w:ascii="Arial" w:hAnsi="Arial" w:eastAsia="Arial" w:cs="Arial"/>
                <w:position w:val="-2"/>
                <w:sz w:val="17"/>
                <w:szCs w:val="17"/>
              </w:rPr>
              <w:t>com</w:t>
            </w:r>
          </w:p>
        </w:tc>
      </w:tr>
    </w:tbl>
    <w:p>
      <w:pPr>
        <w:spacing w:line="14" w:lineRule="auto"/>
        <w:rPr>
          <w:rFonts w:ascii="Arial"/>
          <w:sz w:val="2"/>
        </w:rPr>
      </w:pP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spacing w:before="55" w:line="219" w:lineRule="auto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-2"/>
          <w:sz w:val="17"/>
          <w:szCs w:val="17"/>
        </w:rPr>
        <w:t>主编：朱辉</w:t>
      </w:r>
    </w:p>
    <w:p>
      <w:pPr>
        <w:pStyle w:val="2"/>
        <w:spacing w:before="96" w:line="221" w:lineRule="auto"/>
      </w:pPr>
      <w:r>
        <w:rPr>
          <w:spacing w:val="-8"/>
        </w:rPr>
        <w:t>编辑：蔡寅</w:t>
      </w:r>
    </w:p>
    <w:p>
      <w:pPr>
        <w:pStyle w:val="2"/>
        <w:spacing w:before="76" w:line="221" w:lineRule="auto"/>
      </w:pPr>
      <w:r>
        <w:rPr>
          <w:spacing w:val="-3"/>
        </w:rPr>
        <w:t>本期责任编辑：石西贝</w:t>
      </w:r>
    </w:p>
    <w:p>
      <w:pPr>
        <w:pStyle w:val="2"/>
        <w:spacing w:before="55" w:line="219" w:lineRule="auto"/>
      </w:pPr>
      <w:r>
        <w:rPr>
          <w:spacing w:val="-1"/>
        </w:rPr>
        <w:t>投稿热线：021-66101099*8106</w:t>
      </w:r>
    </w:p>
    <w:p>
      <w:pPr>
        <w:pStyle w:val="2"/>
        <w:spacing w:before="85" w:line="206" w:lineRule="auto"/>
        <w:rPr>
          <w:rFonts w:ascii="宋体" w:hAnsi="宋体" w:eastAsia="宋体" w:cs="宋体"/>
        </w:rPr>
      </w:pPr>
      <w:r>
        <w:rPr>
          <w:spacing w:val="-1"/>
        </w:rPr>
        <w:t>投稿邮箱：</w:t>
      </w:r>
      <w:r>
        <w:rPr>
          <w:rFonts w:ascii="宋体" w:hAnsi="宋体" w:eastAsia="宋体" w:cs="宋体"/>
          <w:spacing w:val="-1"/>
        </w:rPr>
        <w:t>zip-qg@hxtathong.c</w:t>
      </w:r>
      <w:r>
        <w:rPr>
          <w:rFonts w:ascii="宋体" w:hAnsi="宋体" w:eastAsia="宋体" w:cs="宋体"/>
          <w:spacing w:val="-2"/>
        </w:rPr>
        <w:t>om.cn</w:t>
      </w:r>
    </w:p>
    <w:p>
      <w:pPr>
        <w:spacing w:line="206" w:lineRule="auto"/>
        <w:rPr>
          <w:rFonts w:ascii="宋体" w:hAnsi="宋体" w:eastAsia="宋体" w:cs="宋体"/>
        </w:rPr>
        <w:sectPr>
          <w:footerReference r:id="rId5" w:type="default"/>
          <w:pgSz w:w="16840" w:h="18120"/>
          <w:pgMar w:top="1380" w:right="1099" w:bottom="1089" w:left="689" w:header="0" w:footer="1069" w:gutter="0"/>
          <w:cols w:equalWidth="0" w:num="4">
            <w:col w:w="721" w:space="86"/>
            <w:col w:w="1374" w:space="100"/>
            <w:col w:w="9450" w:space="100"/>
            <w:col w:w="3220"/>
          </w:cols>
        </w:sect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0" w:lineRule="exact"/>
        <w:ind w:firstLine="420"/>
      </w:pPr>
      <w:r>
        <w:drawing>
          <wp:inline distT="0" distB="0" distL="0" distR="0">
            <wp:extent cx="9264650" cy="12700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264655" cy="12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403" w:line="221" w:lineRule="auto"/>
        <w:ind w:left="3020"/>
        <w:outlineLvl w:val="0"/>
        <w:rPr>
          <w:sz w:val="73"/>
          <w:szCs w:val="73"/>
        </w:rPr>
      </w:pPr>
      <w:r>
        <w:rPr>
          <w:b/>
          <w:bCs/>
          <w:color w:val="EE0007"/>
          <w:spacing w:val="-1"/>
          <w:sz w:val="73"/>
          <w:szCs w:val="73"/>
        </w:rPr>
        <w:t>松江最美地标—G60</w:t>
      </w:r>
      <w:r>
        <w:rPr>
          <w:color w:val="EE0007"/>
          <w:spacing w:val="-155"/>
          <w:sz w:val="73"/>
          <w:szCs w:val="73"/>
        </w:rPr>
        <w:t xml:space="preserve"> </w:t>
      </w:r>
      <w:r>
        <w:rPr>
          <w:b/>
          <w:bCs/>
          <w:color w:val="EE0007"/>
          <w:spacing w:val="-1"/>
          <w:sz w:val="73"/>
          <w:szCs w:val="73"/>
        </w:rPr>
        <w:t>科创云廊</w:t>
      </w:r>
    </w:p>
    <w:p>
      <w:pPr>
        <w:spacing w:line="66" w:lineRule="exact"/>
      </w:pPr>
    </w:p>
    <w:p>
      <w:pPr>
        <w:spacing w:line="66" w:lineRule="exact"/>
        <w:sectPr>
          <w:type w:val="continuous"/>
          <w:pgSz w:w="16840" w:h="18120"/>
          <w:pgMar w:top="1380" w:right="1099" w:bottom="1089" w:left="689" w:header="0" w:footer="1069" w:gutter="0"/>
          <w:cols w:equalWidth="0" w:num="1">
            <w:col w:w="15051"/>
          </w:cols>
        </w:sectPr>
      </w:pPr>
    </w:p>
    <w:p>
      <w:pPr>
        <w:pStyle w:val="2"/>
        <w:spacing w:before="33" w:line="318" w:lineRule="auto"/>
        <w:ind w:left="450" w:right="242" w:firstLine="349"/>
      </w:pPr>
      <w:r>
        <w:rPr>
          <w:spacing w:val="5"/>
        </w:rPr>
        <w:t>在上海，不少驾车的小伙伴发现，在G60 高</w:t>
      </w:r>
      <w:r>
        <w:rPr>
          <w:spacing w:val="4"/>
        </w:rPr>
        <w:t>速收费口附</w:t>
      </w:r>
      <w:r>
        <w:t xml:space="preserve"> </w:t>
      </w:r>
      <w:r>
        <w:rPr>
          <w:spacing w:val="5"/>
        </w:rPr>
        <w:t>近的土地上，矗立起了一座座高高的写字楼，成为外环外十</w:t>
      </w:r>
      <w:r>
        <w:rPr>
          <w:spacing w:val="6"/>
        </w:rPr>
        <w:t xml:space="preserve"> </w:t>
      </w:r>
      <w:r>
        <w:rPr>
          <w:spacing w:val="4"/>
        </w:rPr>
        <w:t>分靓丽的风景线。这就是临港松江科技城正在建造的拉斐尔</w:t>
      </w:r>
      <w:r>
        <w:rPr>
          <w:spacing w:val="2"/>
        </w:rPr>
        <w:t xml:space="preserve"> </w:t>
      </w:r>
      <w:r>
        <w:rPr>
          <w:spacing w:val="-5"/>
        </w:rPr>
        <w:t>云廊，全长1.5公里，建成后有望成为“世界最长”的城</w:t>
      </w:r>
      <w:r>
        <w:rPr>
          <w:spacing w:val="-6"/>
        </w:rPr>
        <w:t>市产业</w:t>
      </w:r>
      <w:r>
        <w:t xml:space="preserve"> </w:t>
      </w:r>
      <w:r>
        <w:rPr>
          <w:spacing w:val="-2"/>
        </w:rPr>
        <w:t>长廊。本工程由国际著名建筑师拉斐尔·维诺里操刀设计，因</w:t>
      </w:r>
      <w:r>
        <w:t xml:space="preserve"> </w:t>
      </w:r>
      <w:r>
        <w:rPr>
          <w:spacing w:val="-8"/>
        </w:rPr>
        <w:t>英文名"</w:t>
      </w:r>
      <w:r>
        <w:rPr>
          <w:rFonts w:ascii="Arial" w:hAnsi="Arial" w:eastAsia="Arial" w:cs="Arial"/>
          <w:spacing w:val="-8"/>
        </w:rPr>
        <w:t>Rafael  Sky  City</w:t>
      </w:r>
      <w:r>
        <w:rPr>
          <w:spacing w:val="-8"/>
        </w:rPr>
        <w:t>“又得名“拉斐尔云廊”,集商务办公、</w:t>
      </w:r>
      <w:r>
        <w:rPr>
          <w:spacing w:val="9"/>
        </w:rPr>
        <w:t xml:space="preserve"> </w:t>
      </w:r>
      <w:r>
        <w:rPr>
          <w:spacing w:val="4"/>
        </w:rPr>
        <w:t>五星级酒店、美食餐饮、休闲娱乐及生活配套为一体的商业</w:t>
      </w:r>
      <w:r>
        <w:rPr>
          <w:spacing w:val="3"/>
        </w:rPr>
        <w:t xml:space="preserve"> </w:t>
      </w:r>
      <w:r>
        <w:rPr>
          <w:spacing w:val="8"/>
        </w:rPr>
        <w:t>综合体，总体量将超过100万平方米，由23栋高层商</w:t>
      </w:r>
      <w:r>
        <w:rPr>
          <w:spacing w:val="7"/>
        </w:rPr>
        <w:t>务办公</w:t>
      </w:r>
      <w:r>
        <w:t xml:space="preserve"> </w:t>
      </w:r>
      <w:r>
        <w:rPr>
          <w:spacing w:val="9"/>
        </w:rPr>
        <w:t>建筑群组成。2015年， G60 科创云廊一期开工，占地</w:t>
      </w:r>
      <w:r>
        <w:rPr>
          <w:spacing w:val="8"/>
        </w:rPr>
        <w:t>220</w:t>
      </w:r>
      <w:r>
        <w:t xml:space="preserve"> </w:t>
      </w:r>
      <w:r>
        <w:rPr>
          <w:spacing w:val="9"/>
        </w:rPr>
        <w:t>亩，建筑面积43万平方米，建筑全长约800米。2017年5月</w:t>
      </w:r>
      <w:r>
        <w:t xml:space="preserve"> </w:t>
      </w:r>
      <w:r>
        <w:rPr>
          <w:spacing w:val="4"/>
        </w:rPr>
        <w:t>27日，</w:t>
      </w:r>
      <w:r>
        <w:rPr>
          <w:spacing w:val="-25"/>
        </w:rPr>
        <w:t xml:space="preserve"> </w:t>
      </w:r>
      <w:r>
        <w:rPr>
          <w:spacing w:val="4"/>
        </w:rPr>
        <w:t>G60</w:t>
      </w:r>
      <w:r>
        <w:rPr>
          <w:spacing w:val="26"/>
        </w:rPr>
        <w:t xml:space="preserve"> </w:t>
      </w:r>
      <w:r>
        <w:rPr>
          <w:spacing w:val="4"/>
        </w:rPr>
        <w:t>科创云廊一期结构封顶。2</w:t>
      </w:r>
      <w:r>
        <w:rPr>
          <w:spacing w:val="3"/>
        </w:rPr>
        <w:t>020年1月，G60 科创</w:t>
      </w:r>
      <w:r>
        <w:t xml:space="preserve"> </w:t>
      </w:r>
      <w:r>
        <w:rPr>
          <w:spacing w:val="7"/>
        </w:rPr>
        <w:t>云廊二期正式开工，二期项目占地285亩，建筑面积65</w:t>
      </w:r>
      <w:r>
        <w:rPr>
          <w:spacing w:val="6"/>
        </w:rPr>
        <w:t>万平</w:t>
      </w:r>
      <w:r>
        <w:t xml:space="preserve"> 方米，建设12栋约80米高的高层建筑。</w:t>
      </w:r>
    </w:p>
    <w:p>
      <w:pPr>
        <w:spacing w:before="65" w:line="5410" w:lineRule="exact"/>
        <w:ind w:firstLine="390"/>
      </w:pPr>
      <w:r>
        <w:rPr>
          <w:position w:val="-108"/>
        </w:rPr>
        <w:drawing>
          <wp:inline distT="0" distB="0" distL="0" distR="0">
            <wp:extent cx="2952750" cy="3435350"/>
            <wp:effectExtent l="0" t="0" r="0" b="0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52768" cy="343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5" w:line="222" w:lineRule="auto"/>
        <w:ind w:left="2302"/>
      </w:pPr>
      <w:r>
        <w:rPr>
          <w:b/>
          <w:bCs/>
          <w:color w:val="02A046"/>
          <w:spacing w:val="-13"/>
        </w:rPr>
        <w:t>G60</w:t>
      </w:r>
      <w:r>
        <w:rPr>
          <w:color w:val="02A046"/>
          <w:spacing w:val="-45"/>
        </w:rPr>
        <w:t xml:space="preserve"> </w:t>
      </w:r>
      <w:r>
        <w:rPr>
          <w:b/>
          <w:bCs/>
          <w:color w:val="02A046"/>
          <w:spacing w:val="-13"/>
        </w:rPr>
        <w:t>科创云廊</w:t>
      </w:r>
    </w:p>
    <w:p>
      <w:pPr>
        <w:pStyle w:val="2"/>
        <w:spacing w:before="258" w:line="267" w:lineRule="auto"/>
        <w:ind w:left="450" w:right="275" w:firstLine="339"/>
      </w:pPr>
      <w:r>
        <w:rPr>
          <w:spacing w:val="4"/>
        </w:rPr>
        <w:t>我司在G60 科创云廊两期工程中共计投入了2</w:t>
      </w:r>
      <w:r>
        <w:rPr>
          <w:spacing w:val="3"/>
        </w:rPr>
        <w:t>4台塔机，</w:t>
      </w:r>
      <w:r>
        <w:t xml:space="preserve"> </w:t>
      </w:r>
      <w:r>
        <w:rPr>
          <w:spacing w:val="-3"/>
        </w:rPr>
        <w:t>包括7台永茂STT553-24t</w:t>
      </w:r>
      <w:r>
        <w:rPr>
          <w:spacing w:val="31"/>
        </w:rPr>
        <w:t xml:space="preserve"> </w:t>
      </w:r>
      <w:r>
        <w:rPr>
          <w:spacing w:val="-3"/>
        </w:rPr>
        <w:t>塔机、</w:t>
      </w:r>
      <w:r>
        <w:rPr>
          <w:spacing w:val="55"/>
        </w:rPr>
        <w:t xml:space="preserve"> </w:t>
      </w:r>
      <w:r>
        <w:rPr>
          <w:spacing w:val="-3"/>
        </w:rPr>
        <w:t>8台</w:t>
      </w:r>
      <w:r>
        <w:rPr>
          <w:spacing w:val="-4"/>
        </w:rPr>
        <w:t>永茂STT403-18t</w:t>
      </w:r>
      <w:r>
        <w:rPr>
          <w:spacing w:val="41"/>
        </w:rPr>
        <w:t xml:space="preserve"> </w:t>
      </w:r>
      <w:r>
        <w:rPr>
          <w:spacing w:val="-4"/>
        </w:rPr>
        <w:t>塔机、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2"/>
        <w:spacing w:before="30" w:line="320" w:lineRule="auto"/>
        <w:ind w:left="5090" w:right="51"/>
      </w:pPr>
      <w:r>
        <w:pict>
          <v:shape id="_x0000_s1030" o:spid="_x0000_s1030" o:spt="202" type="#_x0000_t202" style="position:absolute;left:0pt;margin-left:2.95pt;margin-top:0.9pt;height:103.4pt;width:229.55pt;z-index:25166131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pStyle w:val="2"/>
                    <w:spacing w:before="19" w:line="300" w:lineRule="auto"/>
                    <w:ind w:left="20" w:right="36"/>
                  </w:pPr>
                  <w:r>
                    <w:rPr>
                      <w:spacing w:val="2"/>
                    </w:rPr>
                    <w:t>3台行走式永茂</w:t>
                  </w:r>
                  <w:r>
                    <w:rPr>
                      <w:rFonts w:ascii="宋体" w:hAnsi="宋体" w:eastAsia="宋体" w:cs="宋体"/>
                    </w:rPr>
                    <w:t>STL</w:t>
                  </w:r>
                  <w:r>
                    <w:rPr>
                      <w:rFonts w:ascii="宋体" w:hAnsi="宋体" w:eastAsia="宋体" w:cs="宋体"/>
                      <w:spacing w:val="2"/>
                    </w:rPr>
                    <w:t>420A-25t</w:t>
                  </w:r>
                  <w:r>
                    <w:rPr>
                      <w:rFonts w:ascii="宋体" w:hAnsi="宋体" w:eastAsia="宋体" w:cs="宋体"/>
                      <w:spacing w:val="22"/>
                    </w:rPr>
                    <w:t xml:space="preserve">  </w:t>
                  </w:r>
                  <w:r>
                    <w:rPr>
                      <w:spacing w:val="2"/>
                    </w:rPr>
                    <w:t>塔机、1台中联W750-40U   塔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rPr>
                      <w:spacing w:val="2"/>
                    </w:rPr>
                    <w:t xml:space="preserve">机、1台中联W600-32U   塔机、1台中联W600-25U  </w:t>
                  </w:r>
                  <w:r>
                    <w:rPr>
                      <w:spacing w:val="1"/>
                    </w:rPr>
                    <w:t xml:space="preserve"> 塔机、</w:t>
                  </w:r>
                  <w:r>
                    <w:t xml:space="preserve"> </w:t>
                  </w:r>
                  <w:r>
                    <w:rPr>
                      <w:spacing w:val="1"/>
                    </w:rPr>
                    <w:t>3台中联</w:t>
                  </w:r>
                  <w:r>
                    <w:t>WA</w:t>
                  </w:r>
                  <w:r>
                    <w:rPr>
                      <w:spacing w:val="1"/>
                    </w:rPr>
                    <w:t>350-20</w:t>
                  </w:r>
                  <w:r>
                    <w:t>HA</w:t>
                  </w:r>
                  <w:r>
                    <w:rPr>
                      <w:spacing w:val="21"/>
                      <w:w w:val="101"/>
                    </w:rPr>
                    <w:t xml:space="preserve">   </w:t>
                  </w:r>
                  <w:r>
                    <w:rPr>
                      <w:spacing w:val="1"/>
                    </w:rPr>
                    <w:t>塔机，为项目的顺利实施提供</w:t>
                  </w:r>
                  <w:r>
                    <w:t xml:space="preserve">了强有 </w:t>
                  </w:r>
                  <w:r>
                    <w:rPr>
                      <w:spacing w:val="-6"/>
                    </w:rPr>
                    <w:t>力的支持。</w:t>
                  </w:r>
                </w:p>
                <w:p>
                  <w:pPr>
                    <w:pStyle w:val="2"/>
                    <w:spacing w:before="128" w:line="288" w:lineRule="auto"/>
                    <w:ind w:left="20" w:right="20" w:firstLine="349"/>
                    <w:jc w:val="both"/>
                  </w:pPr>
                  <w:r>
                    <w:rPr>
                      <w:spacing w:val="12"/>
                    </w:rPr>
                    <w:t>最震撼的屋盖，开创性地采取悬空搭建，将来规模有</w:t>
                  </w:r>
                  <w:r>
                    <w:rPr>
                      <w:spacing w:val="13"/>
                    </w:rPr>
                    <w:t xml:space="preserve"> </w:t>
                  </w:r>
                  <w:r>
                    <w:rPr>
                      <w:spacing w:val="3"/>
                    </w:rPr>
                    <w:t>20个足球场大小，号称是全球最大的铝结构屋盖。铝结构的</w:t>
                  </w:r>
                  <w:r>
                    <w:rPr>
                      <w:spacing w:val="12"/>
                    </w:rPr>
                    <w:t xml:space="preserve"> </w:t>
                  </w:r>
                  <w:r>
                    <w:rPr>
                      <w:spacing w:val="3"/>
                    </w:rPr>
                    <w:t>屋盖上，还贴了一片片柔性太阳能膜，形成一个超大型太阳</w:t>
                  </w:r>
                </w:p>
              </w:txbxContent>
            </v:textbox>
          </v:shape>
        </w:pict>
      </w:r>
      <w:r>
        <w:rPr>
          <w:spacing w:val="5"/>
        </w:rPr>
        <w:t xml:space="preserve">塔机安装位置，无法进行常规塔机基础的施工。并且本工程 </w:t>
      </w:r>
      <w:r>
        <w:rPr>
          <w:spacing w:val="4"/>
        </w:rPr>
        <w:t>吊装的部附件重量均为大型绗架结构，体积大、重量大、幅</w:t>
      </w:r>
      <w:r>
        <w:rPr>
          <w:spacing w:val="14"/>
        </w:rPr>
        <w:t xml:space="preserve"> </w:t>
      </w:r>
      <w:r>
        <w:rPr>
          <w:spacing w:val="2"/>
        </w:rPr>
        <w:t xml:space="preserve">度远，导致塔机的级别较大，对于基础的受力要求非常高。 </w:t>
      </w:r>
      <w:r>
        <w:rPr>
          <w:spacing w:val="5"/>
        </w:rPr>
        <w:t>我司多次对现场进行实地勘察，充分研究建筑结构形式，并</w:t>
      </w:r>
      <w:r>
        <w:rPr>
          <w:spacing w:val="7"/>
        </w:rPr>
        <w:t xml:space="preserve"> </w:t>
      </w:r>
      <w:r>
        <w:rPr>
          <w:spacing w:val="4"/>
        </w:rPr>
        <w:t>多次与屋盖施工单位上海通正铝业工程技术有限</w:t>
      </w:r>
      <w:r>
        <w:rPr>
          <w:spacing w:val="3"/>
        </w:rPr>
        <w:t>公司进行交</w:t>
      </w:r>
      <w:r>
        <w:t xml:space="preserve"> </w:t>
      </w:r>
      <w:r>
        <w:rPr>
          <w:spacing w:val="4"/>
        </w:rPr>
        <w:t>流讨论，最终确定利用现有建筑结构梁柱作为塔机基础受力</w:t>
      </w:r>
      <w:r>
        <w:t xml:space="preserve"> </w:t>
      </w:r>
      <w:r>
        <w:rPr>
          <w:spacing w:val="3"/>
        </w:rPr>
        <w:t>点，采用闲置钢梁作为塔机特殊基础的材料。我司分别通过</w:t>
      </w:r>
      <w:r>
        <w:rPr>
          <w:spacing w:val="17"/>
        </w:rPr>
        <w:t xml:space="preserve"> </w:t>
      </w:r>
      <w:r>
        <w:rPr>
          <w:rFonts w:ascii="宋体" w:hAnsi="宋体" w:eastAsia="宋体" w:cs="宋体"/>
        </w:rPr>
        <w:t xml:space="preserve">Solidworks </w:t>
      </w:r>
      <w:r>
        <w:t>软件进行三维建模，模拟塔机基础与既有建筑结</w:t>
      </w:r>
      <w:r>
        <w:rPr>
          <w:spacing w:val="10"/>
        </w:rPr>
        <w:t xml:space="preserve"> </w:t>
      </w:r>
      <w:r>
        <w:rPr>
          <w:spacing w:val="-1"/>
        </w:rPr>
        <w:t>构空间关系，利用</w:t>
      </w:r>
      <w:r>
        <w:rPr>
          <w:rFonts w:ascii="宋体" w:hAnsi="宋体" w:eastAsia="宋体" w:cs="宋体"/>
          <w:spacing w:val="-1"/>
        </w:rPr>
        <w:t>Ansys</w:t>
      </w:r>
      <w:r>
        <w:rPr>
          <w:rFonts w:ascii="宋体" w:hAnsi="宋体" w:eastAsia="宋体" w:cs="宋体"/>
          <w:spacing w:val="-11"/>
        </w:rPr>
        <w:t xml:space="preserve"> </w:t>
      </w:r>
      <w:r>
        <w:rPr>
          <w:spacing w:val="-1"/>
        </w:rPr>
        <w:t>软件进行有限元分析，确保钢结构基</w:t>
      </w:r>
      <w:r>
        <w:t xml:space="preserve"> </w:t>
      </w:r>
      <w:r>
        <w:rPr>
          <w:spacing w:val="4"/>
        </w:rPr>
        <w:t>础的强度、刚度及稳定性均满足塔机受力要求</w:t>
      </w:r>
      <w:r>
        <w:rPr>
          <w:spacing w:val="3"/>
        </w:rPr>
        <w:t>，并且作用于</w:t>
      </w:r>
      <w:r>
        <w:t xml:space="preserve"> </w:t>
      </w:r>
      <w:r>
        <w:rPr>
          <w:spacing w:val="3"/>
        </w:rPr>
        <w:t>建筑结构梁柱的尽可能小，大大降低了塔机基础施工及建筑</w:t>
      </w:r>
      <w:r>
        <w:rPr>
          <w:spacing w:val="16"/>
        </w:rPr>
        <w:t xml:space="preserve"> </w:t>
      </w:r>
      <w:r>
        <w:rPr>
          <w:spacing w:val="4"/>
        </w:rPr>
        <w:t>结构的加固成本。另外由于本工程结构跨度较大，屋盖施工</w:t>
      </w:r>
      <w:r>
        <w:rPr>
          <w:spacing w:val="12"/>
        </w:rPr>
        <w:t xml:space="preserve"> </w:t>
      </w:r>
      <w:r>
        <w:rPr>
          <w:spacing w:val="3"/>
        </w:rPr>
        <w:t>结束后需要进行大量辅助支撑架的拆卸工作，为提高吊装及</w:t>
      </w:r>
      <w:r>
        <w:rPr>
          <w:spacing w:val="17"/>
        </w:rPr>
        <w:t xml:space="preserve"> </w:t>
      </w:r>
      <w:r>
        <w:rPr>
          <w:spacing w:val="1"/>
        </w:rPr>
        <w:t>倒运效率，我司采用两台行走式</w:t>
      </w:r>
      <w:r>
        <w:rPr>
          <w:rFonts w:ascii="宋体" w:hAnsi="宋体" w:eastAsia="宋体" w:cs="宋体"/>
        </w:rPr>
        <w:t>STL</w:t>
      </w:r>
      <w:r>
        <w:rPr>
          <w:rFonts w:ascii="宋体" w:hAnsi="宋体" w:eastAsia="宋体" w:cs="宋体"/>
          <w:spacing w:val="1"/>
        </w:rPr>
        <w:t xml:space="preserve">420A-25t  </w:t>
      </w:r>
      <w:r>
        <w:rPr>
          <w:spacing w:val="1"/>
        </w:rPr>
        <w:t>塔机，行走轨</w:t>
      </w:r>
      <w:r>
        <w:rPr>
          <w:spacing w:val="8"/>
        </w:rPr>
        <w:t xml:space="preserve"> </w:t>
      </w:r>
      <w:r>
        <w:rPr>
          <w:spacing w:val="7"/>
        </w:rPr>
        <w:t>道总长800多米，刷新了我司参建工程中塔机的最</w:t>
      </w:r>
      <w:r>
        <w:rPr>
          <w:spacing w:val="6"/>
        </w:rPr>
        <w:t>大行走长</w:t>
      </w:r>
      <w:r>
        <w:t xml:space="preserve"> </w:t>
      </w:r>
      <w:r>
        <w:rPr>
          <w:spacing w:val="-8"/>
        </w:rPr>
        <w:t>度。</w:t>
      </w:r>
    </w:p>
    <w:p>
      <w:pPr>
        <w:spacing w:line="331" w:lineRule="auto"/>
        <w:rPr>
          <w:rFonts w:ascii="Arial"/>
          <w:sz w:val="21"/>
        </w:rPr>
      </w:pPr>
    </w:p>
    <w:p>
      <w:pPr>
        <w:spacing w:line="332" w:lineRule="auto"/>
        <w:rPr>
          <w:rFonts w:ascii="Arial"/>
          <w:sz w:val="21"/>
        </w:rPr>
      </w:pPr>
    </w:p>
    <w:p>
      <w:pPr>
        <w:pStyle w:val="2"/>
        <w:spacing w:before="55" w:line="221" w:lineRule="auto"/>
        <w:ind w:left="1612"/>
      </w:pPr>
      <w:r>
        <w:rPr>
          <w:rFonts w:ascii="宋体" w:hAnsi="宋体" w:eastAsia="宋体" w:cs="宋体"/>
          <w:b/>
          <w:bCs/>
          <w:color w:val="02A046"/>
          <w:spacing w:val="-15"/>
          <w:w w:val="95"/>
        </w:rPr>
        <w:t>(a)</w:t>
      </w:r>
      <w:r>
        <w:rPr>
          <w:rFonts w:ascii="宋体" w:hAnsi="宋体" w:eastAsia="宋体" w:cs="宋体"/>
          <w:color w:val="02A046"/>
          <w:spacing w:val="-1"/>
        </w:rPr>
        <w:t xml:space="preserve"> </w:t>
      </w:r>
      <w:r>
        <w:rPr>
          <w:b/>
          <w:bCs/>
          <w:color w:val="02A046"/>
          <w:spacing w:val="-15"/>
          <w:w w:val="95"/>
        </w:rPr>
        <w:t>钢梁系统变形云图</w:t>
      </w:r>
    </w:p>
    <w:p>
      <w:pPr>
        <w:spacing w:before="133" w:line="3260" w:lineRule="exact"/>
        <w:ind w:firstLine="20"/>
      </w:pPr>
      <w:r>
        <w:rPr>
          <w:position w:val="-65"/>
        </w:rPr>
        <w:pict>
          <v:group id="_x0000_s1031" o:spid="_x0000_s1031" o:spt="203" style="height:163pt;width:232.55pt;" coordsize="4651,3260">
            <o:lock v:ext="edit"/>
            <v:shape id="_x0000_s1032" o:spid="_x0000_s1032" o:spt="75" type="#_x0000_t75" style="position:absolute;left:0;top:0;height:3260;width:4651;" filled="f" stroked="f" coordsize="21600,21600">
              <v:path/>
              <v:fill on="f" focussize="0,0"/>
              <v:stroke on="f"/>
              <v:imagedata r:id="rId18" o:title=""/>
              <o:lock v:ext="edit" aspectratio="t"/>
            </v:shape>
            <v:shape id="_x0000_s1033" o:spid="_x0000_s1033" o:spt="202" type="#_x0000_t202" style="position:absolute;left:-20;top:-20;height:3300;width:4691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84" w:line="188" w:lineRule="auto"/>
                      <w:ind w:left="79"/>
                      <w:rPr>
                        <w:rFonts w:ascii="Arial" w:hAnsi="Arial" w:eastAsia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hAnsi="Arial" w:eastAsia="Arial" w:cs="Arial"/>
                        <w:b/>
                        <w:bCs/>
                        <w:spacing w:val="-2"/>
                        <w:sz w:val="10"/>
                        <w:szCs w:val="10"/>
                      </w:rPr>
                      <w:t>A:Static Structural</w:t>
                    </w:r>
                  </w:p>
                  <w:p>
                    <w:pPr>
                      <w:spacing w:line="198" w:lineRule="auto"/>
                      <w:ind w:left="79"/>
                      <w:rPr>
                        <w:rFonts w:ascii="Arial" w:hAnsi="Arial" w:eastAsia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hAnsi="Arial" w:eastAsia="Arial" w:cs="Arial"/>
                        <w:color w:val="364870"/>
                        <w:spacing w:val="-2"/>
                        <w:sz w:val="10"/>
                        <w:szCs w:val="10"/>
                      </w:rPr>
                      <w:t>Linearized</w:t>
                    </w:r>
                    <w:r>
                      <w:rPr>
                        <w:rFonts w:ascii="Arial" w:hAnsi="Arial" w:eastAsia="Arial" w:cs="Arial"/>
                        <w:color w:val="364870"/>
                        <w:spacing w:val="22"/>
                        <w:w w:val="102"/>
                        <w:sz w:val="10"/>
                        <w:szCs w:val="10"/>
                      </w:rPr>
                      <w:t xml:space="preserve"> </w:t>
                    </w:r>
                    <w:r>
                      <w:rPr>
                        <w:rFonts w:ascii="Arial" w:hAnsi="Arial" w:eastAsia="Arial" w:cs="Arial"/>
                        <w:color w:val="364870"/>
                        <w:spacing w:val="-2"/>
                        <w:sz w:val="10"/>
                        <w:szCs w:val="10"/>
                      </w:rPr>
                      <w:t>Narmal Stress 3</w:t>
                    </w:r>
                  </w:p>
                  <w:p>
                    <w:pPr>
                      <w:spacing w:before="8" w:line="192" w:lineRule="auto"/>
                      <w:ind w:left="79"/>
                      <w:rPr>
                        <w:rFonts w:ascii="Times New Roman" w:hAnsi="Times New Roman" w:eastAsia="Times New Roman" w:cs="Times New Roman"/>
                        <w:sz w:val="10"/>
                        <w:szCs w:val="1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z w:val="10"/>
                        <w:szCs w:val="10"/>
                      </w:rPr>
                      <w:t>Type:Linearized  Normal  Stress(X  Avis)</w:t>
                    </w:r>
                  </w:p>
                  <w:p>
                    <w:pPr>
                      <w:spacing w:before="58" w:line="192" w:lineRule="auto"/>
                      <w:ind w:left="189"/>
                      <w:rPr>
                        <w:rFonts w:ascii="Times New Roman" w:hAnsi="Times New Roman" w:eastAsia="Times New Roman" w:cs="Times New Roman"/>
                        <w:sz w:val="10"/>
                        <w:szCs w:val="1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color w:val="42537B"/>
                        <w:spacing w:val="-1"/>
                        <w:sz w:val="10"/>
                        <w:szCs w:val="10"/>
                      </w:rPr>
                      <w:t>Unit:MPa</w:t>
                    </w:r>
                  </w:p>
                  <w:p>
                    <w:pPr>
                      <w:spacing w:before="27" w:line="192" w:lineRule="auto"/>
                      <w:ind w:left="79"/>
                      <w:rPr>
                        <w:rFonts w:ascii="Times New Roman" w:hAnsi="Times New Roman" w:eastAsia="Times New Roman" w:cs="Times New Roman"/>
                        <w:sz w:val="10"/>
                        <w:szCs w:val="1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spacing w:val="-1"/>
                        <w:sz w:val="10"/>
                        <w:szCs w:val="10"/>
                      </w:rPr>
                      <w:t>Global Cog</w:t>
                    </w:r>
                  </w:p>
                  <w:p>
                    <w:pPr>
                      <w:spacing w:before="147" w:line="224" w:lineRule="auto"/>
                      <w:ind w:left="79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spacing w:val="-1"/>
                        <w:sz w:val="10"/>
                        <w:szCs w:val="10"/>
                      </w:rPr>
                      <w:t>2023/5/2716:15</w:t>
                    </w:r>
                  </w:p>
                  <w:p>
                    <w:pPr>
                      <w:spacing w:before="99" w:line="213" w:lineRule="auto"/>
                      <w:ind w:left="470" w:right="3819" w:hanging="89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b/>
                        <w:bCs/>
                        <w:spacing w:val="-3"/>
                        <w:sz w:val="10"/>
                        <w:szCs w:val="10"/>
                      </w:rPr>
                      <w:t>11.378</w:t>
                    </w:r>
                    <w:r>
                      <w:rPr>
                        <w:rFonts w:ascii="宋体" w:hAnsi="宋体" w:eastAsia="宋体" w:cs="宋体"/>
                        <w:spacing w:val="-3"/>
                        <w:sz w:val="10"/>
                        <w:szCs w:val="1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b/>
                        <w:bCs/>
                        <w:spacing w:val="-3"/>
                        <w:sz w:val="10"/>
                        <w:szCs w:val="10"/>
                      </w:rPr>
                      <w:t>Max</w:t>
                    </w:r>
                    <w:r>
                      <w:rPr>
                        <w:rFonts w:ascii="宋体" w:hAnsi="宋体" w:eastAsia="宋体" w:cs="宋体"/>
                        <w:spacing w:val="8"/>
                        <w:sz w:val="10"/>
                        <w:szCs w:val="1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b/>
                        <w:bCs/>
                        <w:spacing w:val="-2"/>
                        <w:sz w:val="10"/>
                        <w:szCs w:val="10"/>
                      </w:rPr>
                      <w:t>8205</w:t>
                    </w:r>
                  </w:p>
                  <w:p>
                    <w:pPr>
                      <w:spacing w:before="51" w:line="184" w:lineRule="auto"/>
                      <w:ind w:left="38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spacing w:val="-6"/>
                        <w:sz w:val="10"/>
                        <w:szCs w:val="10"/>
                      </w:rPr>
                      <w:t>-12.219</w:t>
                    </w:r>
                  </w:p>
                  <w:p>
                    <w:pPr>
                      <w:spacing w:before="40" w:line="184" w:lineRule="auto"/>
                      <w:ind w:left="38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spacing w:val="-6"/>
                        <w:sz w:val="10"/>
                        <w:szCs w:val="10"/>
                      </w:rPr>
                      <w:t>-24.018</w:t>
                    </w:r>
                  </w:p>
                  <w:p>
                    <w:pPr>
                      <w:spacing w:before="31" w:line="184" w:lineRule="auto"/>
                      <w:ind w:left="38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color w:val="687697"/>
                        <w:spacing w:val="-6"/>
                        <w:sz w:val="10"/>
                        <w:szCs w:val="10"/>
                      </w:rPr>
                      <w:t>-35.816</w:t>
                    </w:r>
                  </w:p>
                  <w:p>
                    <w:pPr>
                      <w:spacing w:before="10" w:line="184" w:lineRule="auto"/>
                      <w:ind w:left="38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color w:val="7281A0"/>
                        <w:spacing w:val="-1"/>
                        <w:sz w:val="10"/>
                        <w:szCs w:val="10"/>
                      </w:rPr>
                      <w:t>47.615</w:t>
                    </w:r>
                  </w:p>
                  <w:p>
                    <w:pPr>
                      <w:spacing w:before="50" w:line="184" w:lineRule="auto"/>
                      <w:ind w:left="38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color w:val="5B657D"/>
                        <w:spacing w:val="-1"/>
                        <w:sz w:val="10"/>
                        <w:szCs w:val="10"/>
                      </w:rPr>
                      <w:t>59413</w:t>
                    </w:r>
                  </w:p>
                  <w:p>
                    <w:pPr>
                      <w:spacing w:before="40" w:line="184" w:lineRule="auto"/>
                      <w:ind w:left="38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color w:val="7A88A4"/>
                        <w:spacing w:val="-6"/>
                        <w:sz w:val="10"/>
                        <w:szCs w:val="10"/>
                      </w:rPr>
                      <w:t>-71.212</w:t>
                    </w:r>
                  </w:p>
                  <w:p>
                    <w:pPr>
                      <w:spacing w:before="41" w:line="183" w:lineRule="auto"/>
                      <w:ind w:left="380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color w:val="677288"/>
                        <w:spacing w:val="-1"/>
                        <w:sz w:val="10"/>
                        <w:szCs w:val="10"/>
                      </w:rPr>
                      <w:t>83.011</w:t>
                    </w:r>
                  </w:p>
                  <w:p>
                    <w:pPr>
                      <w:spacing w:line="183" w:lineRule="auto"/>
                      <w:ind w:left="383"/>
                      <w:rPr>
                        <w:rFonts w:ascii="宋体" w:hAnsi="宋体" w:eastAsia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hAnsi="宋体" w:eastAsia="宋体" w:cs="宋体"/>
                        <w:spacing w:val="-8"/>
                        <w:sz w:val="10"/>
                        <w:szCs w:val="10"/>
                      </w:rPr>
                      <w:t>-</w:t>
                    </w:r>
                    <w:r>
                      <w:rPr>
                        <w:rFonts w:ascii="宋体" w:hAnsi="宋体" w:eastAsia="宋体" w:cs="宋体"/>
                        <w:b/>
                        <w:bCs/>
                        <w:spacing w:val="-8"/>
                        <w:sz w:val="10"/>
                        <w:szCs w:val="10"/>
                      </w:rPr>
                      <w:t>94.809</w:t>
                    </w:r>
                    <w:r>
                      <w:rPr>
                        <w:rFonts w:ascii="宋体" w:hAnsi="宋体" w:eastAsia="宋体" w:cs="宋体"/>
                        <w:spacing w:val="-8"/>
                        <w:sz w:val="10"/>
                        <w:szCs w:val="1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b/>
                        <w:bCs/>
                        <w:spacing w:val="-8"/>
                        <w:sz w:val="10"/>
                        <w:szCs w:val="10"/>
                      </w:rPr>
                      <w:t>Min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2"/>
        <w:spacing w:before="142" w:line="219" w:lineRule="auto"/>
        <w:ind w:left="1552"/>
      </w:pPr>
      <w:r>
        <w:pict>
          <v:shape id="_x0000_s1034" o:spid="_x0000_s1034" o:spt="202" type="#_x0000_t202" style="position:absolute;left:0pt;margin-left:253.5pt;margin-top:4.9pt;height:26.85pt;width:229.95pt;z-index:25166438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pStyle w:val="2"/>
                    <w:spacing w:before="20" w:line="269" w:lineRule="auto"/>
                    <w:ind w:left="20" w:right="20" w:firstLine="349"/>
                  </w:pPr>
                  <w:r>
                    <w:rPr>
                      <w:spacing w:val="-8"/>
                    </w:rPr>
                    <w:t>目前，塔机租赁市场持续下行，“内卷”现象严</w:t>
                  </w:r>
                  <w:r>
                    <w:rPr>
                      <w:spacing w:val="-9"/>
                    </w:rPr>
                    <w:t>重，中核華</w:t>
                  </w:r>
                  <w:r>
                    <w:t xml:space="preserve"> </w:t>
                  </w:r>
                  <w:r>
                    <w:rPr>
                      <w:spacing w:val="2"/>
                    </w:rPr>
                    <w:t>興達豐始终坚守初心，利用</w:t>
                  </w:r>
                  <w:r>
                    <w:rPr>
                      <w:rFonts w:ascii="Times New Roman" w:hAnsi="Times New Roman" w:eastAsia="Times New Roman" w:cs="Times New Roman"/>
                    </w:rPr>
                    <w:t>TOP</w:t>
                  </w:r>
                  <w:r>
                    <w:rPr>
                      <w:rFonts w:ascii="Times New Roman" w:hAnsi="Times New Roman" w:eastAsia="Times New Roman" w:cs="Times New Roman"/>
                      <w:spacing w:val="-6"/>
                    </w:rPr>
                    <w:t xml:space="preserve"> </w:t>
                  </w:r>
                  <w:r>
                    <w:rPr>
                      <w:rFonts w:ascii="宋体" w:hAnsi="宋体" w:eastAsia="宋体" w:cs="宋体"/>
                      <w:spacing w:val="2"/>
                    </w:rPr>
                    <w:t>、</w:t>
                  </w:r>
                  <w:r>
                    <w:rPr>
                      <w:rFonts w:ascii="宋体" w:hAnsi="宋体" w:eastAsia="宋体" w:cs="宋体"/>
                      <w:spacing w:val="-51"/>
                    </w:rPr>
                    <w:t xml:space="preserve"> </w:t>
                  </w:r>
                  <w:r>
                    <w:rPr>
                      <w:spacing w:val="2"/>
                    </w:rPr>
                    <w:t>爱建通等信息化系统，不</w:t>
                  </w:r>
                </w:p>
              </w:txbxContent>
            </v:textbox>
          </v:shape>
        </w:pict>
      </w:r>
      <w:r>
        <w:rPr>
          <w:rFonts w:ascii="宋体" w:hAnsi="宋体" w:eastAsia="宋体" w:cs="宋体"/>
          <w:b/>
          <w:bCs/>
          <w:color w:val="02A046"/>
          <w:spacing w:val="-18"/>
        </w:rPr>
        <w:t>(b)</w:t>
      </w:r>
      <w:r>
        <w:rPr>
          <w:rFonts w:ascii="宋体" w:hAnsi="宋体" w:eastAsia="宋体" w:cs="宋体"/>
          <w:color w:val="02A046"/>
          <w:spacing w:val="-18"/>
        </w:rPr>
        <w:t xml:space="preserve"> </w:t>
      </w:r>
      <w:r>
        <w:rPr>
          <w:b/>
          <w:bCs/>
          <w:color w:val="02A046"/>
          <w:spacing w:val="-18"/>
        </w:rPr>
        <w:t>钢梁系统应力曲线图</w:t>
      </w:r>
    </w:p>
    <w:p>
      <w:pPr>
        <w:spacing w:line="307" w:lineRule="auto"/>
        <w:rPr>
          <w:rFonts w:ascii="Arial"/>
          <w:sz w:val="21"/>
        </w:rPr>
      </w:pPr>
    </w:p>
    <w:p>
      <w:pPr>
        <w:pStyle w:val="2"/>
        <w:spacing w:before="56" w:line="320" w:lineRule="exact"/>
        <w:ind w:left="429"/>
      </w:pPr>
      <w:r>
        <w:pict>
          <v:shape id="_x0000_s1035" o:spid="_x0000_s1035" o:spt="202" type="#_x0000_t202" style="position:absolute;left:0pt;margin-left:253.5pt;margin-top:2.25pt;height:27.55pt;width:230.15pt;z-index:251663360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pStyle w:val="2"/>
                    <w:spacing w:before="20" w:line="277" w:lineRule="auto"/>
                    <w:ind w:left="20" w:right="20"/>
                  </w:pPr>
                  <w:r>
                    <w:rPr>
                      <w:spacing w:val="5"/>
                    </w:rPr>
                    <w:t>断提升管理与服务品质，充分发挥技术优势，为客户提供最</w:t>
                  </w:r>
                  <w:r>
                    <w:rPr>
                      <w:spacing w:val="11"/>
                    </w:rPr>
                    <w:t xml:space="preserve"> </w:t>
                  </w:r>
                  <w:r>
                    <w:rPr>
                      <w:spacing w:val="-3"/>
                    </w:rPr>
                    <w:t>安心的建筑机械施工服务。</w:t>
                  </w:r>
                </w:p>
              </w:txbxContent>
            </v:textbox>
          </v:shape>
        </w:pict>
      </w:r>
      <w:r>
        <w:rPr>
          <w:spacing w:val="4"/>
          <w:position w:val="11"/>
        </w:rPr>
        <w:t>本工程的施工难点在于建筑主体土建结构已经完工，未</w:t>
      </w:r>
    </w:p>
    <w:p>
      <w:pPr>
        <w:pStyle w:val="2"/>
        <w:spacing w:line="196" w:lineRule="auto"/>
        <w:ind w:left="79"/>
      </w:pPr>
      <w:r>
        <w:rPr>
          <w:spacing w:val="5"/>
        </w:rPr>
        <w:t>考虑上部悬空的屋盖施工，并且地下室顶板及底板均未预留</w:t>
      </w:r>
    </w:p>
    <w:p>
      <w:pPr>
        <w:spacing w:line="196" w:lineRule="auto"/>
        <w:sectPr>
          <w:type w:val="continuous"/>
          <w:pgSz w:w="16840" w:h="18120"/>
          <w:pgMar w:top="1380" w:right="1099" w:bottom="1089" w:left="689" w:header="0" w:footer="1069" w:gutter="0"/>
          <w:cols w:equalWidth="0" w:num="2">
            <w:col w:w="5251" w:space="100"/>
            <w:col w:w="9701"/>
          </w:cols>
        </w:sectPr>
      </w:pPr>
    </w:p>
    <w:p>
      <w:pPr>
        <w:pStyle w:val="2"/>
        <w:spacing w:before="261" w:line="227" w:lineRule="auto"/>
        <w:ind w:left="35"/>
        <w:rPr>
          <w:rFonts w:ascii="宋体" w:hAnsi="宋体" w:eastAsia="宋体" w:cs="宋体"/>
          <w:sz w:val="18"/>
          <w:szCs w:val="18"/>
        </w:rPr>
      </w:pPr>
      <w:r>
        <w:rPr>
          <w:rFonts w:ascii="幼圆" w:hAnsi="幼圆" w:eastAsia="幼圆" w:cs="幼圆"/>
          <w:b/>
          <w:bCs/>
          <w:spacing w:val="11"/>
          <w:sz w:val="37"/>
          <w:szCs w:val="37"/>
        </w:rPr>
        <w:t>第2版|荣誉嘉奖</w:t>
      </w:r>
      <w:r>
        <w:rPr>
          <w:rFonts w:ascii="幼圆" w:hAnsi="幼圆" w:eastAsia="幼圆" w:cs="幼圆"/>
          <w:spacing w:val="11"/>
          <w:sz w:val="37"/>
          <w:szCs w:val="37"/>
        </w:rPr>
        <w:t xml:space="preserve">             </w:t>
      </w:r>
      <w:r>
        <w:rPr>
          <w:rFonts w:ascii="幼圆" w:hAnsi="幼圆" w:eastAsia="幼圆" w:cs="幼圆"/>
          <w:spacing w:val="10"/>
          <w:sz w:val="37"/>
          <w:szCs w:val="37"/>
        </w:rPr>
        <w:t xml:space="preserve">                             </w:t>
      </w:r>
      <w:r>
        <w:rPr>
          <w:spacing w:val="10"/>
          <w:position w:val="-5"/>
          <w:sz w:val="27"/>
          <w:szCs w:val="27"/>
        </w:rPr>
        <w:t>学典查壁</w:t>
      </w:r>
      <w:r>
        <w:rPr>
          <w:spacing w:val="45"/>
          <w:position w:val="-5"/>
          <w:sz w:val="27"/>
          <w:szCs w:val="27"/>
        </w:rPr>
        <w:t xml:space="preserve">  </w:t>
      </w:r>
      <w:r>
        <w:rPr>
          <w:rFonts w:ascii="宋体" w:hAnsi="宋体" w:eastAsia="宋体" w:cs="宋体"/>
          <w:spacing w:val="10"/>
          <w:position w:val="1"/>
          <w:sz w:val="18"/>
          <w:szCs w:val="18"/>
        </w:rPr>
        <w:t>2023年第4期 ·</w:t>
      </w:r>
      <w:r>
        <w:rPr>
          <w:rFonts w:ascii="宋体" w:hAnsi="宋体" w:eastAsia="宋体" w:cs="宋体"/>
          <w:spacing w:val="-47"/>
          <w:position w:val="1"/>
          <w:sz w:val="18"/>
          <w:szCs w:val="18"/>
        </w:rPr>
        <w:t xml:space="preserve"> </w:t>
      </w:r>
      <w:r>
        <w:rPr>
          <w:rFonts w:ascii="宋体" w:hAnsi="宋体" w:eastAsia="宋体" w:cs="宋体"/>
          <w:spacing w:val="10"/>
          <w:position w:val="1"/>
          <w:sz w:val="18"/>
          <w:szCs w:val="18"/>
        </w:rPr>
        <w:t>总第57期</w:t>
      </w:r>
    </w:p>
    <w:p>
      <w:pPr>
        <w:spacing w:line="425" w:lineRule="auto"/>
        <w:rPr>
          <w:rFonts w:ascii="Arial"/>
          <w:sz w:val="21"/>
        </w:rPr>
      </w:pPr>
    </w:p>
    <w:p>
      <w:pPr>
        <w:pStyle w:val="2"/>
        <w:spacing w:line="1870" w:lineRule="exact"/>
        <w:ind w:firstLine="399"/>
      </w:pPr>
      <w:r>
        <w:rPr>
          <w:position w:val="-37"/>
        </w:rPr>
        <w:pict>
          <v:group id="_x0000_s1036" o:spid="_x0000_s1036" o:spt="203" style="height:93.55pt;width:702.5pt;" coordsize="14050,1871">
            <o:lock v:ext="edit"/>
            <v:shape id="_x0000_s1037" o:spid="_x0000_s1037" o:spt="75" type="#_x0000_t75" style="position:absolute;left:0;top:0;height:1871;width:14050;" filled="f" stroked="f" coordsize="21600,21600">
              <v:path/>
              <v:fill on="f" focussize="0,0"/>
              <v:stroke on="f"/>
              <v:imagedata r:id="rId19" o:title=""/>
              <o:lock v:ext="edit" aspectratio="t"/>
            </v:shape>
            <v:shape id="_x0000_s1038" o:spid="_x0000_s1038" o:spt="202" type="#_x0000_t202" style="position:absolute;left:-20;top:-20;height:1911;width:14090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406" w:line="221" w:lineRule="auto"/>
                      <w:ind w:left="3139"/>
                      <w:rPr>
                        <w:rFonts w:ascii="黑体" w:hAnsi="黑体" w:eastAsia="黑体" w:cs="黑体"/>
                        <w:sz w:val="52"/>
                        <w:szCs w:val="52"/>
                      </w:rPr>
                    </w:pPr>
                    <w:r>
                      <w:rPr>
                        <w:rFonts w:ascii="黑体" w:hAnsi="黑体" w:eastAsia="黑体" w:cs="黑体"/>
                        <w:color w:val="038838"/>
                        <w:spacing w:val="21"/>
                        <w:sz w:val="52"/>
                        <w:szCs w:val="52"/>
                      </w:rPr>
                      <w:t>恭喜中核華興達豐连续四届荣获</w:t>
                    </w:r>
                  </w:p>
                  <w:p>
                    <w:pPr>
                      <w:spacing w:before="58" w:line="222" w:lineRule="auto"/>
                      <w:ind w:left="2069"/>
                      <w:rPr>
                        <w:rFonts w:ascii="黑体" w:hAnsi="黑体" w:eastAsia="黑体" w:cs="黑体"/>
                        <w:sz w:val="52"/>
                        <w:szCs w:val="52"/>
                      </w:rPr>
                    </w:pPr>
                    <w:r>
                      <w:rPr>
                        <w:rFonts w:ascii="黑体" w:hAnsi="黑体" w:eastAsia="黑体" w:cs="黑体"/>
                        <w:color w:val="038838"/>
                        <w:spacing w:val="22"/>
                        <w:sz w:val="52"/>
                        <w:szCs w:val="52"/>
                      </w:rPr>
                      <w:t>“上海金属结构行业诚信企业”荣誉证书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190" w:lineRule="exact"/>
      </w:pPr>
    </w:p>
    <w:p>
      <w:pPr>
        <w:spacing w:line="190" w:lineRule="exact"/>
        <w:sectPr>
          <w:footerReference r:id="rId6" w:type="default"/>
          <w:pgSz w:w="16840" w:h="9700"/>
          <w:pgMar w:top="824" w:right="1085" w:bottom="1040" w:left="1090" w:header="0" w:footer="1019" w:gutter="0"/>
          <w:cols w:equalWidth="0" w:num="1">
            <w:col w:w="14665"/>
          </w:cols>
        </w:sectPr>
      </w:pPr>
    </w:p>
    <w:p>
      <w:pPr>
        <w:pStyle w:val="2"/>
        <w:spacing w:before="68" w:line="3531" w:lineRule="exact"/>
      </w:pPr>
      <w:r>
        <w:rPr>
          <w:position w:val="-70"/>
        </w:rPr>
        <w:pict>
          <v:group id="_x0000_s1039" o:spid="_x0000_s1039" o:spt="203" style="height:176.6pt;width:175.05pt;" coordsize="3501,3532">
            <o:lock v:ext="edit"/>
            <v:shape id="_x0000_s1040" o:spid="_x0000_s1040" o:spt="75" type="#_x0000_t75" style="position:absolute;left:0;top:1151;height:2380;width:3501;" filled="f" stroked="f" coordsize="21600,21600">
              <v:path/>
              <v:fill on="f" focussize="0,0"/>
              <v:stroke on="f"/>
              <v:imagedata r:id="rId20" o:title=""/>
              <o:lock v:ext="edit" aspectratio="t"/>
            </v:shape>
            <v:shape id="_x0000_s1041" o:spid="_x0000_s1041" o:spt="202" type="#_x0000_t202" style="position:absolute;left:9;top:-20;height:3197;width:3447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21" w:line="288" w:lineRule="auto"/>
                      <w:ind w:left="20" w:right="20" w:firstLine="339"/>
                      <w:jc w:val="both"/>
                      <w:rPr>
                        <w:rFonts w:ascii="黑体" w:hAnsi="黑体" w:eastAsia="黑体" w:cs="黑体"/>
                        <w:sz w:val="18"/>
                        <w:szCs w:val="18"/>
                      </w:rPr>
                    </w:pPr>
                    <w:r>
                      <w:rPr>
                        <w:rFonts w:ascii="黑体" w:hAnsi="黑体" w:eastAsia="黑体" w:cs="黑体"/>
                        <w:spacing w:val="-1"/>
                        <w:sz w:val="18"/>
                        <w:szCs w:val="18"/>
                      </w:rPr>
                      <w:t>2023年10月24日，上海市金属结构行业</w:t>
                    </w:r>
                    <w:r>
                      <w:rPr>
                        <w:rFonts w:ascii="黑体" w:hAnsi="黑体" w:eastAsia="黑体" w:cs="黑体"/>
                        <w:spacing w:val="14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黑体" w:hAnsi="黑体" w:eastAsia="黑体" w:cs="黑体"/>
                        <w:spacing w:val="-10"/>
                        <w:sz w:val="18"/>
                        <w:szCs w:val="18"/>
                      </w:rPr>
                      <w:t>协会在上海宝隆宾二楼馆金色殿堂召开“七届</w:t>
                    </w:r>
                    <w:r>
                      <w:rPr>
                        <w:rFonts w:ascii="黑体" w:hAnsi="黑体" w:eastAsia="黑体" w:cs="黑体"/>
                        <w:spacing w:val="6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黑体" w:hAnsi="黑体" w:eastAsia="黑体" w:cs="黑体"/>
                        <w:spacing w:val="8"/>
                        <w:sz w:val="18"/>
                        <w:szCs w:val="18"/>
                      </w:rPr>
                      <w:t>十次理事会暨七届十次常务理事”会议暨</w:t>
                    </w:r>
                    <w:r>
                      <w:rPr>
                        <w:rFonts w:ascii="黑体" w:hAnsi="黑体" w:eastAsia="黑体" w:cs="黑体"/>
                        <w:spacing w:val="15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黑体" w:hAnsi="黑体" w:eastAsia="黑体" w:cs="黑体"/>
                        <w:spacing w:val="-7"/>
                        <w:sz w:val="18"/>
                        <w:szCs w:val="18"/>
                      </w:rPr>
                      <w:t>2022年度诚信企业的颁奖仪式。</w:t>
                    </w:r>
                  </w:p>
                  <w:p>
                    <w:pPr>
                      <w:spacing w:line="289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line="290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before="39" w:line="219" w:lineRule="auto"/>
                      <w:ind w:left="1239"/>
                      <w:rPr>
                        <w:rFonts w:ascii="宋体" w:hAnsi="宋体" w:eastAsia="宋体" w:cs="宋体"/>
                        <w:sz w:val="12"/>
                        <w:szCs w:val="12"/>
                      </w:rPr>
                    </w:pPr>
                    <w:r>
                      <w:rPr>
                        <w:rFonts w:ascii="宋体" w:hAnsi="宋体" w:eastAsia="宋体" w:cs="宋体"/>
                        <w:spacing w:val="-8"/>
                        <w:sz w:val="12"/>
                        <w:szCs w:val="12"/>
                      </w:rPr>
                      <w:t>上海市金属结构行业</w:t>
                    </w:r>
                  </w:p>
                  <w:p>
                    <w:pPr>
                      <w:spacing w:before="48" w:line="219" w:lineRule="auto"/>
                      <w:ind w:left="1060"/>
                      <w:rPr>
                        <w:rFonts w:ascii="宋体" w:hAnsi="宋体" w:eastAsia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hAnsi="宋体" w:eastAsia="宋体" w:cs="宋体"/>
                        <w:spacing w:val="-7"/>
                        <w:sz w:val="18"/>
                        <w:szCs w:val="18"/>
                      </w:rPr>
                      <w:t>诚</w:t>
                    </w:r>
                    <w:r>
                      <w:rPr>
                        <w:rFonts w:ascii="宋体" w:hAnsi="宋体" w:eastAsia="宋体" w:cs="宋体"/>
                        <w:spacing w:val="-13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-7"/>
                        <w:sz w:val="18"/>
                        <w:szCs w:val="18"/>
                      </w:rPr>
                      <w:t>信</w:t>
                    </w:r>
                    <w:r>
                      <w:rPr>
                        <w:rFonts w:ascii="宋体" w:hAnsi="宋体" w:eastAsia="宋体" w:cs="宋体"/>
                        <w:spacing w:val="-15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-7"/>
                        <w:sz w:val="18"/>
                        <w:szCs w:val="18"/>
                      </w:rPr>
                      <w:t>企</w:t>
                    </w:r>
                    <w:r>
                      <w:rPr>
                        <w:rFonts w:ascii="宋体" w:hAnsi="宋体" w:eastAsia="宋体" w:cs="宋体"/>
                        <w:spacing w:val="-1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-7"/>
                        <w:sz w:val="18"/>
                        <w:szCs w:val="18"/>
                      </w:rPr>
                      <w:t>业</w:t>
                    </w:r>
                    <w:r>
                      <w:rPr>
                        <w:rFonts w:ascii="宋体" w:hAnsi="宋体" w:eastAsia="宋体" w:cs="宋体"/>
                        <w:spacing w:val="-17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-7"/>
                        <w:sz w:val="18"/>
                        <w:szCs w:val="18"/>
                      </w:rPr>
                      <w:t>证</w:t>
                    </w:r>
                    <w:r>
                      <w:rPr>
                        <w:rFonts w:ascii="宋体" w:hAnsi="宋体" w:eastAsia="宋体" w:cs="宋体"/>
                        <w:spacing w:val="-14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spacing w:val="-7"/>
                        <w:sz w:val="18"/>
                        <w:szCs w:val="18"/>
                      </w:rPr>
                      <w:t>书</w:t>
                    </w:r>
                  </w:p>
                  <w:p>
                    <w:pPr>
                      <w:spacing w:before="143" w:line="221" w:lineRule="auto"/>
                      <w:ind w:left="359"/>
                      <w:rPr>
                        <w:rFonts w:ascii="黑体" w:hAnsi="黑体" w:eastAsia="黑体" w:cs="黑体"/>
                        <w:sz w:val="10"/>
                        <w:szCs w:val="10"/>
                      </w:rPr>
                    </w:pPr>
                    <w:r>
                      <w:rPr>
                        <w:rFonts w:ascii="黑体" w:hAnsi="黑体" w:eastAsia="黑体" w:cs="黑体"/>
                        <w:spacing w:val="-6"/>
                        <w:sz w:val="10"/>
                        <w:szCs w:val="10"/>
                      </w:rPr>
                      <w:t>中核华兴选丰机城工程有限公司</w:t>
                    </w:r>
                  </w:p>
                  <w:p>
                    <w:pPr>
                      <w:spacing w:before="68" w:line="275" w:lineRule="auto"/>
                      <w:ind w:left="359" w:right="461" w:firstLine="410"/>
                      <w:rPr>
                        <w:rFonts w:ascii="楷体" w:hAnsi="楷体" w:eastAsia="楷体" w:cs="楷体"/>
                        <w:sz w:val="10"/>
                        <w:szCs w:val="10"/>
                      </w:rPr>
                    </w:pPr>
                    <w:r>
                      <w:rPr>
                        <w:rFonts w:ascii="楷体" w:hAnsi="楷体" w:eastAsia="楷体" w:cs="楷体"/>
                        <w:spacing w:val="-4"/>
                        <w:sz w:val="10"/>
                        <w:szCs w:val="10"/>
                      </w:rPr>
                      <w:t>经审核评定为2022年度上海市金属结构行业诚信企业</w:t>
                    </w:r>
                    <w:r>
                      <w:rPr>
                        <w:rFonts w:ascii="楷体" w:hAnsi="楷体" w:eastAsia="楷体" w:cs="楷体"/>
                        <w:spacing w:val="14"/>
                        <w:w w:val="101"/>
                        <w:sz w:val="10"/>
                        <w:szCs w:val="10"/>
                      </w:rPr>
                      <w:t xml:space="preserve"> </w:t>
                    </w:r>
                    <w:r>
                      <w:rPr>
                        <w:rFonts w:ascii="楷体" w:hAnsi="楷体" w:eastAsia="楷体" w:cs="楷体"/>
                        <w:spacing w:val="-8"/>
                        <w:sz w:val="10"/>
                        <w:szCs w:val="10"/>
                      </w:rPr>
                      <w:t>特颁此证，证书有效期壹年。</w:t>
                    </w:r>
                  </w:p>
                  <w:p>
                    <w:pPr>
                      <w:spacing w:line="266" w:lineRule="auto"/>
                      <w:rPr>
                        <w:rFonts w:ascii="Arial"/>
                        <w:sz w:val="21"/>
                      </w:rPr>
                    </w:pPr>
                  </w:p>
                  <w:p>
                    <w:pPr>
                      <w:spacing w:before="27" w:line="223" w:lineRule="auto"/>
                      <w:ind w:left="359"/>
                      <w:rPr>
                        <w:rFonts w:ascii="黑体" w:hAnsi="黑体" w:eastAsia="黑体" w:cs="黑体"/>
                        <w:sz w:val="8"/>
                        <w:szCs w:val="8"/>
                      </w:rPr>
                    </w:pPr>
                    <w:r>
                      <w:rPr>
                        <w:rFonts w:ascii="黑体" w:hAnsi="黑体" w:eastAsia="黑体" w:cs="黑体"/>
                        <w:spacing w:val="-3"/>
                        <w:sz w:val="8"/>
                        <w:szCs w:val="8"/>
                      </w:rPr>
                      <w:t>证书号：2023-110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2"/>
        <w:spacing w:before="70" w:line="305" w:lineRule="auto"/>
        <w:ind w:right="198" w:firstLine="340"/>
        <w:jc w:val="both"/>
        <w:rPr>
          <w:sz w:val="18"/>
          <w:szCs w:val="18"/>
        </w:rPr>
      </w:pPr>
      <w:r>
        <w:rPr>
          <w:spacing w:val="-9"/>
          <w:sz w:val="18"/>
          <w:szCs w:val="18"/>
        </w:rPr>
        <w:t>会上，中核華興達豐荣获“2022年度上海</w:t>
      </w:r>
      <w:r>
        <w:rPr>
          <w:sz w:val="18"/>
          <w:szCs w:val="18"/>
        </w:rPr>
        <w:t xml:space="preserve"> </w:t>
      </w:r>
      <w:r>
        <w:rPr>
          <w:spacing w:val="-6"/>
          <w:sz w:val="18"/>
          <w:szCs w:val="18"/>
        </w:rPr>
        <w:t>市金属结构行业诚信企业”,这也是我司连续</w:t>
      </w:r>
      <w:r>
        <w:rPr>
          <w:spacing w:val="6"/>
          <w:sz w:val="18"/>
          <w:szCs w:val="18"/>
        </w:rPr>
        <w:t xml:space="preserve"> </w:t>
      </w:r>
      <w:r>
        <w:rPr>
          <w:spacing w:val="-11"/>
          <w:sz w:val="18"/>
          <w:szCs w:val="18"/>
        </w:rPr>
        <w:t>四届获此殊荣，是上海市金属结构行业协会对</w:t>
      </w:r>
      <w:r>
        <w:rPr>
          <w:spacing w:val="15"/>
          <w:sz w:val="18"/>
          <w:szCs w:val="18"/>
        </w:rPr>
        <w:t xml:space="preserve"> </w:t>
      </w:r>
      <w:r>
        <w:rPr>
          <w:spacing w:val="-11"/>
          <w:sz w:val="18"/>
          <w:szCs w:val="18"/>
        </w:rPr>
        <w:t>我司坚持诚信经营的充分肯定。本次“诚信企</w:t>
      </w:r>
      <w:r>
        <w:rPr>
          <w:spacing w:val="15"/>
          <w:sz w:val="18"/>
          <w:szCs w:val="18"/>
        </w:rPr>
        <w:t xml:space="preserve"> </w:t>
      </w:r>
      <w:r>
        <w:rPr>
          <w:spacing w:val="-11"/>
          <w:sz w:val="18"/>
          <w:szCs w:val="18"/>
        </w:rPr>
        <w:t>业”奖项由上海市金属结构行业协会对申报企</w:t>
      </w:r>
      <w:r>
        <w:rPr>
          <w:spacing w:val="15"/>
          <w:sz w:val="18"/>
          <w:szCs w:val="18"/>
        </w:rPr>
        <w:t xml:space="preserve"> </w:t>
      </w:r>
      <w:r>
        <w:rPr>
          <w:spacing w:val="-11"/>
          <w:sz w:val="18"/>
          <w:szCs w:val="18"/>
        </w:rPr>
        <w:t>业在资质、财务状况、专利技术、履约情况等</w:t>
      </w:r>
      <w:r>
        <w:rPr>
          <w:spacing w:val="16"/>
          <w:sz w:val="18"/>
          <w:szCs w:val="18"/>
        </w:rPr>
        <w:t xml:space="preserve"> </w:t>
      </w:r>
      <w:r>
        <w:rPr>
          <w:spacing w:val="-11"/>
          <w:sz w:val="18"/>
          <w:szCs w:val="18"/>
        </w:rPr>
        <w:t>多方面进行综合评定的基础上，在众多申报企</w:t>
      </w:r>
      <w:r>
        <w:rPr>
          <w:spacing w:val="15"/>
          <w:sz w:val="18"/>
          <w:szCs w:val="18"/>
        </w:rPr>
        <w:t xml:space="preserve"> </w:t>
      </w:r>
      <w:r>
        <w:rPr>
          <w:spacing w:val="-10"/>
          <w:sz w:val="18"/>
          <w:szCs w:val="18"/>
        </w:rPr>
        <w:t>业中经过反复评比择优产生。协会此项工作的</w:t>
      </w:r>
      <w:r>
        <w:rPr>
          <w:spacing w:val="3"/>
          <w:sz w:val="18"/>
          <w:szCs w:val="18"/>
        </w:rPr>
        <w:t xml:space="preserve"> </w:t>
      </w:r>
      <w:r>
        <w:rPr>
          <w:spacing w:val="-11"/>
          <w:sz w:val="18"/>
          <w:szCs w:val="18"/>
        </w:rPr>
        <w:t>持续开展，为规范建筑市场秩序，建立健全企</w:t>
      </w:r>
      <w:r>
        <w:rPr>
          <w:spacing w:val="15"/>
          <w:sz w:val="18"/>
          <w:szCs w:val="18"/>
        </w:rPr>
        <w:t xml:space="preserve"> </w:t>
      </w:r>
      <w:r>
        <w:rPr>
          <w:spacing w:val="-10"/>
          <w:sz w:val="18"/>
          <w:szCs w:val="18"/>
        </w:rPr>
        <w:t>业信用体系，营造诚信守法的市场环境起到了</w:t>
      </w:r>
      <w:r>
        <w:rPr>
          <w:spacing w:val="10"/>
          <w:sz w:val="18"/>
          <w:szCs w:val="18"/>
        </w:rPr>
        <w:t xml:space="preserve"> </w:t>
      </w:r>
      <w:r>
        <w:rPr>
          <w:spacing w:val="-13"/>
          <w:sz w:val="18"/>
          <w:szCs w:val="18"/>
        </w:rPr>
        <w:t>重要作用。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2318" w:lineRule="exact"/>
        <w:ind w:firstLine="69"/>
      </w:pPr>
      <w:r>
        <w:rPr>
          <w:position w:val="-46"/>
        </w:rPr>
        <w:drawing>
          <wp:inline distT="0" distB="0" distL="0" distR="0">
            <wp:extent cx="2196465" cy="1471930"/>
            <wp:effectExtent l="0" t="0" r="0" b="0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97065" cy="1472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188" w:line="280" w:lineRule="auto"/>
        <w:ind w:right="263" w:firstLine="429"/>
        <w:jc w:val="both"/>
        <w:rPr>
          <w:sz w:val="18"/>
          <w:szCs w:val="18"/>
        </w:rPr>
      </w:pPr>
      <w:r>
        <w:rPr>
          <w:spacing w:val="-12"/>
          <w:sz w:val="18"/>
          <w:szCs w:val="18"/>
        </w:rPr>
        <w:t>守合同重信用是企业立足之本，也是企业</w:t>
      </w:r>
      <w:r>
        <w:rPr>
          <w:spacing w:val="13"/>
          <w:sz w:val="18"/>
          <w:szCs w:val="18"/>
        </w:rPr>
        <w:t xml:space="preserve"> </w:t>
      </w:r>
      <w:r>
        <w:rPr>
          <w:spacing w:val="-7"/>
          <w:sz w:val="18"/>
          <w:szCs w:val="18"/>
        </w:rPr>
        <w:t>发展的重要保障。中核華興達豐长期以来坚持</w:t>
      </w:r>
      <w:r>
        <w:rPr>
          <w:spacing w:val="6"/>
          <w:sz w:val="18"/>
          <w:szCs w:val="18"/>
        </w:rPr>
        <w:t xml:space="preserve"> </w:t>
      </w:r>
      <w:r>
        <w:rPr>
          <w:spacing w:val="-15"/>
          <w:sz w:val="18"/>
          <w:szCs w:val="18"/>
        </w:rPr>
        <w:t>“以匠人之心做品质服务”的经营理念，与客户</w:t>
      </w:r>
      <w:r>
        <w:rPr>
          <w:spacing w:val="10"/>
          <w:sz w:val="18"/>
          <w:szCs w:val="18"/>
        </w:rPr>
        <w:t xml:space="preserve"> </w:t>
      </w:r>
      <w:r>
        <w:rPr>
          <w:spacing w:val="-7"/>
          <w:sz w:val="18"/>
          <w:szCs w:val="18"/>
        </w:rPr>
        <w:t>共担、共创、共赢，得到社会各界高度信赖，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2"/>
        <w:spacing w:before="57" w:line="303" w:lineRule="auto"/>
        <w:jc w:val="both"/>
        <w:rPr>
          <w:sz w:val="18"/>
          <w:szCs w:val="18"/>
        </w:rPr>
      </w:pPr>
      <w:r>
        <w:rPr>
          <w:spacing w:val="-11"/>
          <w:sz w:val="18"/>
          <w:szCs w:val="18"/>
        </w:rPr>
        <w:t>企业社会信誉及品牌效应逐年提高。未来，我</w:t>
      </w:r>
      <w:r>
        <w:rPr>
          <w:spacing w:val="15"/>
          <w:sz w:val="18"/>
          <w:szCs w:val="18"/>
        </w:rPr>
        <w:t xml:space="preserve"> </w:t>
      </w:r>
      <w:r>
        <w:rPr>
          <w:spacing w:val="-11"/>
          <w:sz w:val="18"/>
          <w:szCs w:val="18"/>
        </w:rPr>
        <w:t>们将一如既往秉承“厚德安全卓越”的核心价</w:t>
      </w:r>
      <w:r>
        <w:rPr>
          <w:spacing w:val="15"/>
          <w:sz w:val="18"/>
          <w:szCs w:val="18"/>
        </w:rPr>
        <w:t xml:space="preserve"> </w:t>
      </w:r>
      <w:r>
        <w:rPr>
          <w:spacing w:val="-10"/>
          <w:sz w:val="18"/>
          <w:szCs w:val="18"/>
        </w:rPr>
        <w:t>值观，“为客户提供最安心的服务，为股东创</w:t>
      </w:r>
      <w:r>
        <w:rPr>
          <w:spacing w:val="6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造最大化的利益，为员工提供稳定发展的平</w:t>
      </w:r>
      <w:r>
        <w:rPr>
          <w:spacing w:val="12"/>
          <w:sz w:val="18"/>
          <w:szCs w:val="18"/>
        </w:rPr>
        <w:t xml:space="preserve"> </w:t>
      </w:r>
      <w:r>
        <w:rPr>
          <w:spacing w:val="-11"/>
          <w:sz w:val="18"/>
          <w:szCs w:val="18"/>
        </w:rPr>
        <w:t>台，为社会承担绿色和谐的责任。“是我们奋</w:t>
      </w:r>
      <w:r>
        <w:rPr>
          <w:spacing w:val="14"/>
          <w:sz w:val="18"/>
          <w:szCs w:val="18"/>
        </w:rPr>
        <w:t xml:space="preserve"> </w:t>
      </w:r>
      <w:r>
        <w:rPr>
          <w:spacing w:val="-11"/>
          <w:sz w:val="18"/>
          <w:szCs w:val="18"/>
        </w:rPr>
        <w:t>力拼搏的目标与使命，做最好的建筑设备服务</w:t>
      </w:r>
      <w:r>
        <w:rPr>
          <w:spacing w:val="15"/>
          <w:sz w:val="18"/>
          <w:szCs w:val="18"/>
        </w:rPr>
        <w:t xml:space="preserve"> </w:t>
      </w:r>
      <w:r>
        <w:rPr>
          <w:spacing w:val="-10"/>
          <w:sz w:val="18"/>
          <w:szCs w:val="18"/>
        </w:rPr>
        <w:t>供应商，竭力塑造优良的企业品牌形象，再创</w:t>
      </w:r>
      <w:r>
        <w:rPr>
          <w:spacing w:val="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辉煌!</w:t>
      </w:r>
    </w:p>
    <w:p>
      <w:pPr>
        <w:spacing w:line="303" w:lineRule="auto"/>
        <w:rPr>
          <w:sz w:val="18"/>
          <w:szCs w:val="18"/>
        </w:rPr>
        <w:sectPr>
          <w:type w:val="continuous"/>
          <w:pgSz w:w="16840" w:h="9700"/>
          <w:pgMar w:top="824" w:right="1085" w:bottom="1040" w:left="1090" w:header="0" w:footer="1019" w:gutter="0"/>
          <w:cols w:equalWidth="0" w:num="4">
            <w:col w:w="3600" w:space="100"/>
            <w:col w:w="3611" w:space="100"/>
            <w:col w:w="3740" w:space="100"/>
            <w:col w:w="3415"/>
          </w:cols>
        </w:sectPr>
      </w:pPr>
    </w:p>
    <w:p>
      <w:pPr>
        <w:spacing w:before="123" w:line="230" w:lineRule="auto"/>
        <w:ind w:left="25"/>
        <w:rPr>
          <w:rFonts w:ascii="幼圆" w:hAnsi="幼圆" w:eastAsia="幼圆" w:cs="幼圆"/>
          <w:sz w:val="21"/>
          <w:szCs w:val="21"/>
        </w:rPr>
      </w:pPr>
      <w:r>
        <w:drawing>
          <wp:anchor distT="0" distB="0" distL="0" distR="0" simplePos="0" relativeHeight="251668480" behindDoc="0" locked="0" layoutInCell="0" allowOverlap="1">
            <wp:simplePos x="0" y="0"/>
            <wp:positionH relativeFrom="page">
              <wp:posOffset>8826500</wp:posOffset>
            </wp:positionH>
            <wp:positionV relativeFrom="page">
              <wp:posOffset>1555115</wp:posOffset>
            </wp:positionV>
            <wp:extent cx="958850" cy="463550"/>
            <wp:effectExtent l="0" t="0" r="0" b="0"/>
            <wp:wrapNone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58770" cy="46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幼圆" w:hAnsi="幼圆" w:eastAsia="幼圆" w:cs="幼圆"/>
          <w:b/>
          <w:bCs/>
          <w:sz w:val="37"/>
          <w:szCs w:val="37"/>
        </w:rPr>
        <w:t>第3版|安全培训</w:t>
      </w:r>
      <w:r>
        <w:rPr>
          <w:rFonts w:ascii="幼圆" w:hAnsi="幼圆" w:eastAsia="幼圆" w:cs="幼圆"/>
          <w:spacing w:val="2"/>
          <w:sz w:val="37"/>
          <w:szCs w:val="37"/>
        </w:rPr>
        <w:t xml:space="preserve">                                    </w:t>
      </w:r>
      <w:r>
        <w:rPr>
          <w:rFonts w:ascii="幼圆" w:hAnsi="幼圆" w:eastAsia="幼圆" w:cs="幼圆"/>
          <w:spacing w:val="1"/>
          <w:sz w:val="37"/>
          <w:szCs w:val="37"/>
        </w:rPr>
        <w:t xml:space="preserve">        </w:t>
      </w:r>
      <w:r>
        <w:rPr>
          <w:rFonts w:ascii="华文行楷" w:hAnsi="华文行楷" w:eastAsia="华文行楷" w:cs="华文行楷"/>
          <w:b/>
          <w:bCs/>
          <w:position w:val="-3"/>
          <w:sz w:val="27"/>
          <w:szCs w:val="27"/>
        </w:rPr>
        <w:t>草典查</w:t>
      </w:r>
      <w:r>
        <w:rPr>
          <w:rFonts w:ascii="宋体" w:hAnsi="宋体" w:eastAsia="宋体" w:cs="宋体"/>
          <w:b/>
          <w:bCs/>
          <w:position w:val="-3"/>
          <w:sz w:val="27"/>
          <w:szCs w:val="27"/>
        </w:rPr>
        <w:t>豐</w:t>
      </w:r>
      <w:r>
        <w:rPr>
          <w:rFonts w:ascii="宋体" w:hAnsi="宋体" w:eastAsia="宋体" w:cs="宋体"/>
          <w:spacing w:val="1"/>
          <w:position w:val="-3"/>
          <w:sz w:val="27"/>
          <w:szCs w:val="27"/>
        </w:rPr>
        <w:t xml:space="preserve">   </w:t>
      </w:r>
      <w:r>
        <w:rPr>
          <w:rFonts w:ascii="幼圆" w:hAnsi="幼圆" w:eastAsia="幼圆" w:cs="幼圆"/>
          <w:b/>
          <w:bCs/>
          <w:position w:val="1"/>
          <w:sz w:val="21"/>
          <w:szCs w:val="21"/>
        </w:rPr>
        <w:t>2023年第4期·总第57期</w:t>
      </w: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pStyle w:val="2"/>
        <w:spacing w:before="156" w:line="212" w:lineRule="auto"/>
        <w:ind w:left="4629"/>
        <w:rPr>
          <w:sz w:val="48"/>
          <w:szCs w:val="48"/>
        </w:rPr>
      </w:pPr>
      <w:r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145415</wp:posOffset>
            </wp:positionH>
            <wp:positionV relativeFrom="paragraph">
              <wp:posOffset>-145415</wp:posOffset>
            </wp:positionV>
            <wp:extent cx="9080500" cy="1098550"/>
            <wp:effectExtent l="0" t="0" r="0" b="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080513" cy="1098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38838"/>
          <w:spacing w:val="16"/>
          <w:sz w:val="48"/>
          <w:szCs w:val="48"/>
        </w:rPr>
        <w:t>中核華興達豐上海分公司</w:t>
      </w:r>
    </w:p>
    <w:p>
      <w:pPr>
        <w:pStyle w:val="2"/>
        <w:spacing w:before="2" w:line="220" w:lineRule="auto"/>
        <w:ind w:left="4579"/>
        <w:rPr>
          <w:sz w:val="48"/>
          <w:szCs w:val="48"/>
        </w:rPr>
      </w:pPr>
      <w:r>
        <w:rPr>
          <w:color w:val="038838"/>
          <w:spacing w:val="19"/>
          <w:sz w:val="48"/>
          <w:szCs w:val="48"/>
        </w:rPr>
        <w:t>开展塔机消防演练及培训</w:t>
      </w:r>
    </w:p>
    <w:p>
      <w:pPr>
        <w:spacing w:before="168"/>
      </w:pPr>
    </w:p>
    <w:p>
      <w:pPr>
        <w:sectPr>
          <w:footerReference r:id="rId7" w:type="default"/>
          <w:pgSz w:w="16840" w:h="11690"/>
          <w:pgMar w:top="993" w:right="1120" w:bottom="1049" w:left="1090" w:header="0" w:footer="1039" w:gutter="0"/>
          <w:cols w:equalWidth="0" w:num="1">
            <w:col w:w="14630"/>
          </w:cols>
        </w:sectPr>
      </w:pPr>
    </w:p>
    <w:p>
      <w:pPr>
        <w:pStyle w:val="2"/>
        <w:spacing w:before="56" w:line="298" w:lineRule="auto"/>
        <w:ind w:left="19" w:right="364" w:firstLine="370"/>
        <w:jc w:val="both"/>
      </w:pPr>
      <w:r>
        <w:rPr>
          <w:spacing w:val="3"/>
        </w:rPr>
        <w:t>2023年12月15日上午11时，中核華興達豐机械工程有限</w:t>
      </w:r>
      <w:r>
        <w:rPr>
          <w:spacing w:val="6"/>
        </w:rPr>
        <w:t xml:space="preserve"> </w:t>
      </w:r>
      <w:r>
        <w:rPr>
          <w:spacing w:val="3"/>
        </w:rPr>
        <w:t>公司组织松江G60 科创走廊二期屋顶壳体项目的塔机消防演</w:t>
      </w:r>
      <w:r>
        <w:rPr>
          <w:spacing w:val="12"/>
        </w:rPr>
        <w:t xml:space="preserve"> </w:t>
      </w:r>
      <w:r>
        <w:rPr>
          <w:spacing w:val="4"/>
        </w:rPr>
        <w:t>练和培训活动。旨在提高塔机操作人员的消防安全意</w:t>
      </w:r>
      <w:r>
        <w:rPr>
          <w:spacing w:val="3"/>
        </w:rPr>
        <w:t>识和应</w:t>
      </w:r>
      <w:r>
        <w:t xml:space="preserve"> </w:t>
      </w:r>
      <w:r>
        <w:rPr>
          <w:spacing w:val="-3"/>
        </w:rPr>
        <w:t>急处置能力，预防和减少塔机火灾事故的发生。</w:t>
      </w:r>
    </w:p>
    <w:p>
      <w:pPr>
        <w:spacing w:before="45" w:line="3350" w:lineRule="exact"/>
      </w:pPr>
      <w:r>
        <w:rPr>
          <w:position w:val="-67"/>
        </w:rPr>
        <w:drawing>
          <wp:inline distT="0" distB="0" distL="0" distR="0">
            <wp:extent cx="2939415" cy="2127250"/>
            <wp:effectExtent l="0" t="0" r="0" b="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940043" cy="2127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87" w:line="298" w:lineRule="auto"/>
        <w:ind w:left="19" w:right="344" w:firstLine="360"/>
      </w:pPr>
      <w:r>
        <w:rPr>
          <w:spacing w:val="5"/>
        </w:rPr>
        <w:t>此次活动由中核華興逵豐机械工程有限公司和上海市机</w:t>
      </w:r>
      <w:r>
        <w:rPr>
          <w:spacing w:val="4"/>
        </w:rPr>
        <w:t xml:space="preserve"> </w:t>
      </w:r>
      <w:r>
        <w:rPr>
          <w:spacing w:val="3"/>
        </w:rPr>
        <w:t>械施工集团有限公司联合举办。培训分别从消防法律法规</w:t>
      </w:r>
      <w:r>
        <w:rPr>
          <w:spacing w:val="2"/>
        </w:rPr>
        <w:t xml:space="preserve">、 </w:t>
      </w:r>
      <w:r>
        <w:rPr>
          <w:spacing w:val="4"/>
        </w:rPr>
        <w:t>塔机消防安全管理、塔机火灾危险源分析、</w:t>
      </w:r>
      <w:r>
        <w:rPr>
          <w:spacing w:val="3"/>
        </w:rPr>
        <w:t>塔机火灾应急预</w:t>
      </w:r>
      <w:r>
        <w:t xml:space="preserve"> </w:t>
      </w:r>
      <w:r>
        <w:rPr>
          <w:spacing w:val="4"/>
        </w:rPr>
        <w:t>案、塔机火灾现场处置等方面，对参训人员进行详细讲</w:t>
      </w:r>
      <w:r>
        <w:rPr>
          <w:spacing w:val="3"/>
        </w:rPr>
        <w:t>解和</w:t>
      </w:r>
      <w:r>
        <w:t xml:space="preserve"> </w:t>
      </w:r>
      <w:r>
        <w:rPr>
          <w:spacing w:val="-7"/>
        </w:rPr>
        <w:t>指导。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3238" w:lineRule="exact"/>
      </w:pPr>
      <w:r>
        <w:rPr>
          <w:position w:val="-64"/>
        </w:rPr>
        <w:drawing>
          <wp:inline distT="0" distB="0" distL="0" distR="0">
            <wp:extent cx="2914650" cy="2056130"/>
            <wp:effectExtent l="0" t="0" r="0" b="0"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14700" cy="205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186" w:line="312" w:lineRule="auto"/>
        <w:ind w:left="9" w:right="335" w:firstLine="350"/>
      </w:pPr>
      <w:r>
        <w:rPr>
          <w:spacing w:val="4"/>
        </w:rPr>
        <w:t>培训结束后，参训人员还参加了塔机消防演练，演</w:t>
      </w:r>
      <w:r>
        <w:rPr>
          <w:spacing w:val="3"/>
        </w:rPr>
        <w:t>练模</w:t>
      </w:r>
      <w:r>
        <w:t xml:space="preserve"> </w:t>
      </w:r>
      <w:r>
        <w:rPr>
          <w:spacing w:val="3"/>
        </w:rPr>
        <w:t>拟了塔机驾驶室发生火灾的情况，通过自救、互救、报警、</w:t>
      </w:r>
      <w:r>
        <w:rPr>
          <w:spacing w:val="16"/>
        </w:rPr>
        <w:t xml:space="preserve"> </w:t>
      </w:r>
      <w:r>
        <w:rPr>
          <w:spacing w:val="4"/>
        </w:rPr>
        <w:t>灭火等步骤，检验了培训效果和应急能力。为了确保工程的</w:t>
      </w:r>
      <w:r>
        <w:rPr>
          <w:spacing w:val="9"/>
        </w:rPr>
        <w:t xml:space="preserve"> </w:t>
      </w:r>
      <w:r>
        <w:rPr>
          <w:spacing w:val="4"/>
        </w:rPr>
        <w:t>顺利进行和安全质量，我司高度重视塔机消防安全工作，定 期组织培训和演练，提升员工的消防技能和意识，为打造安</w:t>
      </w:r>
      <w:r>
        <w:rPr>
          <w:spacing w:val="6"/>
        </w:rPr>
        <w:t xml:space="preserve"> </w:t>
      </w:r>
      <w:r>
        <w:rPr>
          <w:spacing w:val="4"/>
        </w:rPr>
        <w:t>全、优质、高效的工程项目做出了积极贡献。通过这次培训</w:t>
      </w:r>
      <w:r>
        <w:rPr>
          <w:spacing w:val="9"/>
        </w:rPr>
        <w:t xml:space="preserve"> </w:t>
      </w:r>
      <w:r>
        <w:rPr>
          <w:spacing w:val="4"/>
        </w:rPr>
        <w:t>和消防演练，使员工更加深刻地认识到塔机火灾的危害性和</w:t>
      </w:r>
      <w:r>
        <w:rPr>
          <w:spacing w:val="9"/>
        </w:rPr>
        <w:t xml:space="preserve"> </w:t>
      </w:r>
      <w:r>
        <w:rPr>
          <w:spacing w:val="-4"/>
        </w:rPr>
        <w:t>防范措施，同时增强了员工自我应变能力。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2918" w:lineRule="exact"/>
      </w:pPr>
      <w:r>
        <w:rPr>
          <w:position w:val="-58"/>
        </w:rPr>
        <w:drawing>
          <wp:inline distT="0" distB="0" distL="0" distR="0">
            <wp:extent cx="2933700" cy="1852930"/>
            <wp:effectExtent l="0" t="0" r="0" b="0"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933734" cy="185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185" w:line="312" w:lineRule="auto"/>
        <w:ind w:left="30" w:right="34" w:firstLine="349"/>
      </w:pPr>
      <w:r>
        <w:rPr>
          <w:spacing w:val="5"/>
        </w:rPr>
        <w:t>培训结束后，参训人员还参加了塔机消防演练，演练模</w:t>
      </w:r>
      <w:r>
        <w:rPr>
          <w:spacing w:val="4"/>
        </w:rPr>
        <w:t xml:space="preserve"> </w:t>
      </w:r>
      <w:r>
        <w:rPr>
          <w:spacing w:val="2"/>
        </w:rPr>
        <w:t xml:space="preserve">拟了塔机驾驶室发生火灾的情况，通过自救、互救、报警、 </w:t>
      </w:r>
      <w:r>
        <w:rPr>
          <w:spacing w:val="4"/>
        </w:rPr>
        <w:t>灭火等步骤，检验了培训效果和应急能力。为了确保工程的</w:t>
      </w:r>
      <w:r>
        <w:rPr>
          <w:spacing w:val="9"/>
        </w:rPr>
        <w:t xml:space="preserve"> </w:t>
      </w:r>
      <w:r>
        <w:rPr>
          <w:spacing w:val="4"/>
        </w:rPr>
        <w:t>顺利进行和安全质量，我司高度重视塔机消防安全工作，定 期组织培训和演练，提升员工的消防技能和意识，为打造安</w:t>
      </w:r>
      <w:r>
        <w:rPr>
          <w:spacing w:val="6"/>
        </w:rPr>
        <w:t xml:space="preserve"> </w:t>
      </w:r>
      <w:r>
        <w:rPr>
          <w:spacing w:val="4"/>
        </w:rPr>
        <w:t>全、优质、高效的工程项目做出了积极贡献。通过这次培训</w:t>
      </w:r>
      <w:r>
        <w:rPr>
          <w:spacing w:val="9"/>
        </w:rPr>
        <w:t xml:space="preserve"> </w:t>
      </w:r>
      <w:r>
        <w:rPr>
          <w:spacing w:val="4"/>
        </w:rPr>
        <w:t>和消防演练，使员工更加深刻地认识到塔机火灾的危害性和</w:t>
      </w:r>
      <w:r>
        <w:rPr>
          <w:spacing w:val="8"/>
        </w:rPr>
        <w:t xml:space="preserve"> </w:t>
      </w:r>
      <w:r>
        <w:rPr>
          <w:spacing w:val="-2"/>
        </w:rPr>
        <w:t>防范措施，同时增强了员工自我应变能力。</w:t>
      </w:r>
    </w:p>
    <w:p>
      <w:pPr>
        <w:spacing w:line="312" w:lineRule="auto"/>
        <w:sectPr>
          <w:type w:val="continuous"/>
          <w:pgSz w:w="16840" w:h="11690"/>
          <w:pgMar w:top="993" w:right="1120" w:bottom="1049" w:left="1090" w:header="0" w:footer="1039" w:gutter="0"/>
          <w:cols w:equalWidth="0" w:num="3">
            <w:col w:w="4930" w:space="100"/>
            <w:col w:w="4880" w:space="100"/>
            <w:col w:w="4621"/>
          </w:cols>
        </w:sectPr>
      </w:pPr>
    </w:p>
    <w:p>
      <w:pPr>
        <w:pStyle w:val="2"/>
        <w:spacing w:before="75" w:line="231" w:lineRule="auto"/>
        <w:ind w:left="106"/>
        <w:rPr>
          <w:sz w:val="15"/>
          <w:szCs w:val="15"/>
        </w:rPr>
      </w:pPr>
      <w:r>
        <w:drawing>
          <wp:anchor distT="0" distB="0" distL="0" distR="0" simplePos="0" relativeHeight="251672576" behindDoc="0" locked="0" layoutInCell="0" allowOverlap="1">
            <wp:simplePos x="0" y="0"/>
            <wp:positionH relativeFrom="page">
              <wp:posOffset>596265</wp:posOffset>
            </wp:positionH>
            <wp:positionV relativeFrom="page">
              <wp:posOffset>913130</wp:posOffset>
            </wp:positionV>
            <wp:extent cx="7839075" cy="10795"/>
            <wp:effectExtent l="0" t="0" r="0" b="0"/>
            <wp:wrapNone/>
            <wp:docPr id="2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 28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839324" cy="10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3600" behindDoc="0" locked="0" layoutInCell="0" allowOverlap="1">
            <wp:simplePos x="0" y="0"/>
            <wp:positionH relativeFrom="page">
              <wp:posOffset>596265</wp:posOffset>
            </wp:positionH>
            <wp:positionV relativeFrom="page">
              <wp:posOffset>19460210</wp:posOffset>
            </wp:positionV>
            <wp:extent cx="7849870" cy="6350"/>
            <wp:effectExtent l="0" t="0" r="0" b="0"/>
            <wp:wrapNone/>
            <wp:docPr id="30" name="IM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 30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850092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0528" behindDoc="0" locked="0" layoutInCell="0" allowOverlap="1">
            <wp:simplePos x="0" y="0"/>
            <wp:positionH relativeFrom="page">
              <wp:posOffset>746760</wp:posOffset>
            </wp:positionH>
            <wp:positionV relativeFrom="page">
              <wp:posOffset>1283970</wp:posOffset>
            </wp:positionV>
            <wp:extent cx="741680" cy="397510"/>
            <wp:effectExtent l="0" t="0" r="0" b="0"/>
            <wp:wrapNone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41505" cy="3975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1552" behindDoc="0" locked="0" layoutInCell="0" allowOverlap="1">
            <wp:simplePos x="0" y="0"/>
            <wp:positionH relativeFrom="page">
              <wp:posOffset>7564755</wp:posOffset>
            </wp:positionH>
            <wp:positionV relativeFrom="page">
              <wp:posOffset>1289050</wp:posOffset>
            </wp:positionV>
            <wp:extent cx="720090" cy="392430"/>
            <wp:effectExtent l="0" t="0" r="0" b="0"/>
            <wp:wrapNone/>
            <wp:docPr id="34" name="IM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 34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20060" cy="39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幼圆" w:hAnsi="幼圆" w:eastAsia="幼圆" w:cs="幼圆"/>
          <w:b/>
          <w:bCs/>
          <w:spacing w:val="8"/>
          <w:position w:val="1"/>
          <w:sz w:val="31"/>
          <w:szCs w:val="31"/>
        </w:rPr>
        <w:t>第4版|项目介绍</w:t>
      </w:r>
      <w:r>
        <w:rPr>
          <w:rFonts w:ascii="幼圆" w:hAnsi="幼圆" w:eastAsia="幼圆" w:cs="幼圆"/>
          <w:spacing w:val="8"/>
          <w:position w:val="1"/>
          <w:sz w:val="31"/>
          <w:szCs w:val="31"/>
        </w:rPr>
        <w:t xml:space="preserve">                                           </w:t>
      </w:r>
      <w:r>
        <w:rPr>
          <w:rFonts w:ascii="华文行楷" w:hAnsi="华文行楷" w:eastAsia="华文行楷" w:cs="华文行楷"/>
          <w:spacing w:val="8"/>
          <w:position w:val="-3"/>
          <w:sz w:val="23"/>
          <w:szCs w:val="23"/>
        </w:rPr>
        <w:t>革典查</w:t>
      </w:r>
      <w:r>
        <w:rPr>
          <w:rFonts w:ascii="宋体" w:hAnsi="宋体" w:eastAsia="宋体" w:cs="宋体"/>
          <w:spacing w:val="8"/>
          <w:position w:val="-3"/>
          <w:sz w:val="23"/>
          <w:szCs w:val="23"/>
        </w:rPr>
        <w:t>豐</w:t>
      </w:r>
      <w:r>
        <w:rPr>
          <w:rFonts w:ascii="华文行楷" w:hAnsi="华文行楷" w:eastAsia="华文行楷" w:cs="华文行楷"/>
          <w:spacing w:val="8"/>
          <w:position w:val="-3"/>
          <w:sz w:val="23"/>
          <w:szCs w:val="23"/>
        </w:rPr>
        <w:t>●</w:t>
      </w:r>
      <w:r>
        <w:rPr>
          <w:rFonts w:ascii="华文行楷" w:hAnsi="华文行楷" w:eastAsia="华文行楷" w:cs="华文行楷"/>
          <w:spacing w:val="35"/>
          <w:position w:val="-3"/>
          <w:sz w:val="23"/>
          <w:szCs w:val="23"/>
        </w:rPr>
        <w:t xml:space="preserve"> </w:t>
      </w:r>
      <w:r>
        <w:rPr>
          <w:spacing w:val="7"/>
          <w:sz w:val="15"/>
          <w:szCs w:val="15"/>
        </w:rPr>
        <w:t>2023年第4期 ·</w:t>
      </w:r>
      <w:r>
        <w:rPr>
          <w:spacing w:val="-38"/>
          <w:sz w:val="15"/>
          <w:szCs w:val="15"/>
        </w:rPr>
        <w:t xml:space="preserve"> </w:t>
      </w:r>
      <w:r>
        <w:rPr>
          <w:spacing w:val="7"/>
          <w:sz w:val="15"/>
          <w:szCs w:val="15"/>
        </w:rPr>
        <w:t>总第57期</w:t>
      </w:r>
    </w:p>
    <w:p>
      <w:pPr>
        <w:spacing w:line="451" w:lineRule="auto"/>
        <w:rPr>
          <w:rFonts w:ascii="Arial"/>
          <w:sz w:val="21"/>
        </w:rPr>
      </w:pPr>
    </w:p>
    <w:p>
      <w:pPr>
        <w:pStyle w:val="2"/>
        <w:spacing w:before="130" w:line="215" w:lineRule="auto"/>
        <w:ind w:left="4416"/>
        <w:rPr>
          <w:sz w:val="40"/>
          <w:szCs w:val="40"/>
        </w:rPr>
      </w:pPr>
      <w:r>
        <w:drawing>
          <wp:anchor distT="0" distB="0" distL="0" distR="0" simplePos="0" relativeHeight="251669504" behindDoc="1" locked="0" layoutInCell="1" allowOverlap="1">
            <wp:simplePos x="0" y="0"/>
            <wp:positionH relativeFrom="column">
              <wp:posOffset>187960</wp:posOffset>
            </wp:positionH>
            <wp:positionV relativeFrom="paragraph">
              <wp:posOffset>-157480</wp:posOffset>
            </wp:positionV>
            <wp:extent cx="7586980" cy="929640"/>
            <wp:effectExtent l="0" t="0" r="0" b="0"/>
            <wp:wrapNone/>
            <wp:docPr id="36" name="IM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 36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586787" cy="929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38838"/>
          <w:spacing w:val="21"/>
          <w:sz w:val="40"/>
          <w:szCs w:val="40"/>
        </w:rPr>
        <w:t>陕西分公司项目介绍</w:t>
      </w:r>
    </w:p>
    <w:p>
      <w:pPr>
        <w:pStyle w:val="2"/>
        <w:spacing w:line="224" w:lineRule="auto"/>
        <w:ind w:left="3553"/>
        <w:rPr>
          <w:sz w:val="40"/>
          <w:szCs w:val="40"/>
        </w:rPr>
      </w:pPr>
      <w:r>
        <w:rPr>
          <w:color w:val="038838"/>
          <w:spacing w:val="54"/>
          <w:sz w:val="40"/>
          <w:szCs w:val="40"/>
        </w:rPr>
        <w:t>观棠樾小区项目(一期)项目</w:t>
      </w:r>
    </w:p>
    <w:p>
      <w:pPr>
        <w:spacing w:before="69"/>
      </w:pPr>
    </w:p>
    <w:p>
      <w:pPr>
        <w:sectPr>
          <w:footerReference r:id="rId8" w:type="default"/>
          <w:pgSz w:w="14250" w:h="31681"/>
          <w:pgMar w:top="860" w:right="846" w:bottom="400" w:left="829" w:header="0" w:footer="0" w:gutter="0"/>
          <w:cols w:equalWidth="0" w:num="1">
            <w:col w:w="12574"/>
          </w:cols>
        </w:sectPr>
      </w:pPr>
    </w:p>
    <w:p>
      <w:pPr>
        <w:pStyle w:val="2"/>
        <w:spacing w:before="98" w:line="295" w:lineRule="auto"/>
        <w:ind w:left="101" w:right="229" w:firstLine="304"/>
        <w:jc w:val="both"/>
        <w:rPr>
          <w:sz w:val="15"/>
          <w:szCs w:val="15"/>
        </w:rPr>
      </w:pPr>
      <w:r>
        <w:rPr>
          <w:spacing w:val="-3"/>
          <w:sz w:val="15"/>
          <w:szCs w:val="15"/>
        </w:rPr>
        <w:t>观棠樾项目位于项目位于陕西省西咸新区丝路经济带能</w:t>
      </w:r>
      <w:r>
        <w:rPr>
          <w:spacing w:val="16"/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源金融贸易区，世纪大道以南，东西两侧毗邻西安地铁16号</w:t>
      </w:r>
      <w:r>
        <w:rPr>
          <w:spacing w:val="3"/>
          <w:sz w:val="15"/>
          <w:szCs w:val="15"/>
        </w:rPr>
        <w:t xml:space="preserve"> </w:t>
      </w:r>
      <w:r>
        <w:rPr>
          <w:spacing w:val="-3"/>
          <w:sz w:val="15"/>
          <w:szCs w:val="15"/>
        </w:rPr>
        <w:t>线，总占地面积约155亩，总建筑面积约18.6万</w:t>
      </w:r>
      <w:r>
        <w:rPr>
          <w:rFonts w:ascii="宋体" w:hAnsi="宋体" w:eastAsia="宋体" w:cs="宋体"/>
          <w:spacing w:val="-3"/>
          <w:sz w:val="15"/>
          <w:szCs w:val="15"/>
        </w:rPr>
        <w:t>m,</w:t>
      </w:r>
      <w:r>
        <w:rPr>
          <w:rFonts w:ascii="宋体" w:hAnsi="宋体" w:eastAsia="宋体" w:cs="宋体"/>
          <w:spacing w:val="48"/>
          <w:sz w:val="15"/>
          <w:szCs w:val="15"/>
        </w:rPr>
        <w:t xml:space="preserve"> </w:t>
      </w:r>
      <w:r>
        <w:rPr>
          <w:spacing w:val="-3"/>
          <w:sz w:val="15"/>
          <w:szCs w:val="15"/>
        </w:rPr>
        <w:t>其中住宅</w:t>
      </w:r>
      <w:r>
        <w:rPr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约11.3万</w:t>
      </w:r>
      <w:r>
        <w:rPr>
          <w:rFonts w:ascii="Times New Roman" w:hAnsi="Times New Roman" w:eastAsia="Times New Roman" w:cs="Times New Roman"/>
          <w:spacing w:val="-2"/>
          <w:sz w:val="15"/>
          <w:szCs w:val="15"/>
        </w:rPr>
        <w:t xml:space="preserve">m,   </w:t>
      </w:r>
      <w:r>
        <w:rPr>
          <w:spacing w:val="-2"/>
          <w:sz w:val="15"/>
          <w:szCs w:val="15"/>
        </w:rPr>
        <w:t>商业、办公及配套</w:t>
      </w:r>
      <w:r>
        <w:rPr>
          <w:spacing w:val="-3"/>
          <w:sz w:val="15"/>
          <w:szCs w:val="15"/>
        </w:rPr>
        <w:t>约7.3万</w:t>
      </w:r>
      <w:r>
        <w:rPr>
          <w:rFonts w:ascii="Times New Roman" w:hAnsi="Times New Roman" w:eastAsia="Times New Roman" w:cs="Times New Roman"/>
          <w:spacing w:val="-3"/>
          <w:sz w:val="15"/>
          <w:szCs w:val="15"/>
        </w:rPr>
        <w:t>m</w:t>
      </w:r>
      <w:r>
        <w:rPr>
          <w:rFonts w:ascii="Times New Roman" w:hAnsi="Times New Roman" w:eastAsia="Times New Roman" w:cs="Times New Roman"/>
          <w:spacing w:val="-16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-3"/>
          <w:sz w:val="15"/>
          <w:szCs w:val="15"/>
        </w:rPr>
        <w:t>。</w:t>
      </w:r>
      <w:r>
        <w:rPr>
          <w:spacing w:val="-3"/>
          <w:sz w:val="15"/>
          <w:szCs w:val="15"/>
        </w:rPr>
        <w:t>作为西咸新区首</w:t>
      </w:r>
      <w:r>
        <w:rPr>
          <w:sz w:val="15"/>
          <w:szCs w:val="15"/>
        </w:rPr>
        <w:t xml:space="preserve"> </w:t>
      </w:r>
      <w:r>
        <w:rPr>
          <w:spacing w:val="-5"/>
          <w:sz w:val="15"/>
          <w:szCs w:val="15"/>
        </w:rPr>
        <w:t>个带方案出让项目，是大轴线与金湾科创区</w:t>
      </w:r>
      <w:r>
        <w:rPr>
          <w:rFonts w:ascii="宋体" w:hAnsi="宋体" w:eastAsia="宋体" w:cs="宋体"/>
          <w:spacing w:val="-5"/>
          <w:sz w:val="15"/>
          <w:szCs w:val="15"/>
        </w:rPr>
        <w:t>U</w:t>
      </w:r>
      <w:r>
        <w:rPr>
          <w:spacing w:val="-5"/>
          <w:sz w:val="15"/>
          <w:szCs w:val="15"/>
        </w:rPr>
        <w:t>型绿廊的重要交</w:t>
      </w:r>
      <w:r>
        <w:rPr>
          <w:spacing w:val="9"/>
          <w:sz w:val="15"/>
          <w:szCs w:val="15"/>
        </w:rPr>
        <w:t xml:space="preserve"> </w:t>
      </w:r>
      <w:r>
        <w:rPr>
          <w:spacing w:val="-8"/>
          <w:sz w:val="15"/>
          <w:szCs w:val="15"/>
        </w:rPr>
        <w:t>汇节点，承担了彰显新区城市形象的重要使命。</w:t>
      </w:r>
    </w:p>
    <w:p>
      <w:pPr>
        <w:spacing w:before="13" w:line="2563" w:lineRule="exact"/>
      </w:pPr>
      <w:r>
        <w:rPr>
          <w:position w:val="-51"/>
        </w:rPr>
        <w:drawing>
          <wp:inline distT="0" distB="0" distL="0" distR="0">
            <wp:extent cx="2552065" cy="1627505"/>
            <wp:effectExtent l="0" t="0" r="0" b="0"/>
            <wp:docPr id="38" name="IM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 38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552243" cy="1628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93" w:line="275" w:lineRule="auto"/>
        <w:ind w:left="101" w:right="241" w:firstLine="304"/>
        <w:rPr>
          <w:sz w:val="15"/>
          <w:szCs w:val="15"/>
        </w:rPr>
      </w:pPr>
      <w:r>
        <w:rPr>
          <w:spacing w:val="-3"/>
          <w:sz w:val="15"/>
          <w:szCs w:val="15"/>
        </w:rPr>
        <w:t>项目涵盖商业、商务、居住混合功能，绿廊贯穿南北，</w:t>
      </w:r>
      <w:r>
        <w:rPr>
          <w:spacing w:val="6"/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绿化广场占地面积约52亩，以生态绿轴为支撑，智慧赋能绿</w:t>
      </w:r>
      <w:r>
        <w:rPr>
          <w:sz w:val="15"/>
          <w:szCs w:val="15"/>
        </w:rPr>
        <w:t xml:space="preserve"> </w:t>
      </w:r>
      <w:r>
        <w:rPr>
          <w:spacing w:val="-7"/>
          <w:sz w:val="15"/>
          <w:szCs w:val="15"/>
        </w:rPr>
        <w:t>色生活，打造重要的城市景观轴线，建成后</w:t>
      </w:r>
      <w:r>
        <w:rPr>
          <w:spacing w:val="-8"/>
          <w:sz w:val="15"/>
          <w:szCs w:val="15"/>
        </w:rPr>
        <w:t>面向城市开放。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4670" w:lineRule="exact"/>
      </w:pPr>
      <w:r>
        <w:rPr>
          <w:position w:val="-93"/>
        </w:rPr>
        <w:drawing>
          <wp:inline distT="0" distB="0" distL="0" distR="0">
            <wp:extent cx="2541270" cy="2964815"/>
            <wp:effectExtent l="0" t="0" r="0" b="0"/>
            <wp:docPr id="40" name="IM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 40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541475" cy="2965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7" w:line="3876" w:lineRule="exact"/>
      </w:pPr>
      <w:r>
        <w:rPr>
          <w:position w:val="-77"/>
        </w:rPr>
        <w:drawing>
          <wp:inline distT="0" distB="0" distL="0" distR="0">
            <wp:extent cx="2503805" cy="2460625"/>
            <wp:effectExtent l="0" t="0" r="0" b="0"/>
            <wp:docPr id="42" name="IM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 42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503835" cy="2460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48" w:line="290" w:lineRule="auto"/>
        <w:ind w:left="25" w:right="143" w:firstLine="287"/>
        <w:rPr>
          <w:sz w:val="15"/>
          <w:szCs w:val="15"/>
        </w:rPr>
      </w:pPr>
      <w:r>
        <w:rPr>
          <w:spacing w:val="-13"/>
          <w:sz w:val="15"/>
          <w:szCs w:val="15"/>
        </w:rPr>
        <w:t>项目围绕“公园里的家”这一主题，打造出一个与公园</w:t>
      </w:r>
      <w:r>
        <w:rPr>
          <w:spacing w:val="-14"/>
          <w:sz w:val="15"/>
          <w:szCs w:val="15"/>
        </w:rPr>
        <w:t>多维</w:t>
      </w:r>
      <w:r>
        <w:rPr>
          <w:sz w:val="15"/>
          <w:szCs w:val="15"/>
        </w:rPr>
        <w:t xml:space="preserve"> </w:t>
      </w:r>
      <w:r>
        <w:rPr>
          <w:spacing w:val="-5"/>
          <w:sz w:val="15"/>
          <w:szCs w:val="15"/>
        </w:rPr>
        <w:t>度交互的高端居住楼盘。北侧设置2栋标志性办公塔楼，沿世</w:t>
      </w:r>
      <w:r>
        <w:rPr>
          <w:spacing w:val="8"/>
          <w:sz w:val="15"/>
          <w:szCs w:val="15"/>
        </w:rPr>
        <w:t xml:space="preserve"> </w:t>
      </w:r>
      <w:r>
        <w:rPr>
          <w:spacing w:val="-6"/>
          <w:sz w:val="15"/>
          <w:szCs w:val="15"/>
        </w:rPr>
        <w:t>纪大道与城央公园布置1万平米商业及配套，将景观、商业、</w:t>
      </w:r>
      <w:r>
        <w:rPr>
          <w:spacing w:val="9"/>
          <w:sz w:val="15"/>
          <w:szCs w:val="15"/>
        </w:rPr>
        <w:t xml:space="preserve"> </w:t>
      </w:r>
      <w:r>
        <w:rPr>
          <w:spacing w:val="-7"/>
          <w:sz w:val="15"/>
          <w:szCs w:val="15"/>
        </w:rPr>
        <w:t>中央绿廊融为一体；东西片区则为共计10栋住宅塔楼。</w:t>
      </w:r>
    </w:p>
    <w:p>
      <w:pPr>
        <w:spacing w:line="290" w:lineRule="auto"/>
        <w:rPr>
          <w:sz w:val="15"/>
          <w:szCs w:val="15"/>
        </w:rPr>
        <w:sectPr>
          <w:type w:val="continuous"/>
          <w:pgSz w:w="14250" w:h="31681"/>
          <w:pgMar w:top="860" w:right="846" w:bottom="400" w:left="829" w:header="0" w:footer="0" w:gutter="0"/>
          <w:cols w:equalWidth="0" w:num="3">
            <w:col w:w="4191" w:space="100"/>
            <w:col w:w="4165" w:space="100"/>
            <w:col w:w="4019"/>
          </w:cols>
        </w:sectPr>
      </w:pPr>
    </w:p>
    <w:p>
      <w:pPr>
        <w:spacing w:line="377" w:lineRule="auto"/>
        <w:rPr>
          <w:rFonts w:ascii="Arial"/>
          <w:sz w:val="21"/>
        </w:rPr>
      </w:pPr>
    </w:p>
    <w:p>
      <w:pPr>
        <w:pStyle w:val="2"/>
        <w:spacing w:line="1481" w:lineRule="exact"/>
        <w:ind w:firstLine="363"/>
      </w:pPr>
      <w:r>
        <w:rPr>
          <w:position w:val="-29"/>
        </w:rPr>
        <w:pict>
          <v:group id="_x0000_s1042" o:spid="_x0000_s1042" o:spt="203" style="height:74.05pt;width:594.05pt;" coordsize="11880,1481">
            <o:lock v:ext="edit"/>
            <v:shape id="_x0000_s1043" o:spid="_x0000_s1043" o:spt="75" type="#_x0000_t75" style="position:absolute;left:0;top:0;height:1481;width:11880;" filled="f" stroked="f" coordsize="21600,21600">
              <v:path/>
              <v:fill on="f" focussize="0,0"/>
              <v:stroke on="f"/>
              <v:imagedata r:id="rId35" o:title=""/>
              <o:lock v:ext="edit" aspectratio="t"/>
            </v:shape>
            <v:shape id="_x0000_s1044" o:spid="_x0000_s1044" o:spt="202" type="#_x0000_t202" style="position:absolute;left:-20;top:-20;height:1521;width:11920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356" w:line="218" w:lineRule="auto"/>
                      <w:ind w:left="4073"/>
                      <w:rPr>
                        <w:rFonts w:ascii="黑体" w:hAnsi="黑体" w:eastAsia="黑体" w:cs="黑体"/>
                        <w:sz w:val="40"/>
                        <w:szCs w:val="40"/>
                      </w:rPr>
                    </w:pPr>
                    <w:r>
                      <w:rPr>
                        <w:rFonts w:ascii="黑体" w:hAnsi="黑体" w:eastAsia="黑体" w:cs="黑体"/>
                        <w:color w:val="038838"/>
                        <w:spacing w:val="21"/>
                        <w:sz w:val="40"/>
                        <w:szCs w:val="40"/>
                      </w:rPr>
                      <w:t>陕西分公司项目介绍</w:t>
                    </w:r>
                  </w:p>
                  <w:p>
                    <w:pPr>
                      <w:spacing w:before="1" w:line="223" w:lineRule="auto"/>
                      <w:ind w:left="2998"/>
                      <w:rPr>
                        <w:rFonts w:ascii="黑体" w:hAnsi="黑体" w:eastAsia="黑体" w:cs="黑体"/>
                        <w:sz w:val="40"/>
                        <w:szCs w:val="40"/>
                      </w:rPr>
                    </w:pPr>
                    <w:r>
                      <w:rPr>
                        <w:rFonts w:ascii="黑体" w:hAnsi="黑体" w:eastAsia="黑体" w:cs="黑体"/>
                        <w:color w:val="038838"/>
                        <w:spacing w:val="24"/>
                        <w:sz w:val="40"/>
                        <w:szCs w:val="40"/>
                      </w:rPr>
                      <w:t>西咸自由贸易企业服务中心项目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152" w:lineRule="exact"/>
      </w:pPr>
    </w:p>
    <w:p>
      <w:pPr>
        <w:spacing w:line="152" w:lineRule="exact"/>
        <w:sectPr>
          <w:type w:val="continuous"/>
          <w:pgSz w:w="14250" w:h="31681"/>
          <w:pgMar w:top="860" w:right="846" w:bottom="400" w:left="829" w:header="0" w:footer="0" w:gutter="0"/>
          <w:cols w:equalWidth="0" w:num="1">
            <w:col w:w="12574"/>
          </w:cols>
        </w:sectPr>
      </w:pPr>
    </w:p>
    <w:p>
      <w:pPr>
        <w:pStyle w:val="2"/>
        <w:spacing w:before="59" w:line="296" w:lineRule="auto"/>
        <w:ind w:left="101" w:right="228" w:firstLine="304"/>
        <w:jc w:val="both"/>
        <w:rPr>
          <w:sz w:val="15"/>
          <w:szCs w:val="15"/>
        </w:rPr>
      </w:pPr>
      <w:r>
        <w:rPr>
          <w:spacing w:val="-3"/>
          <w:sz w:val="15"/>
          <w:szCs w:val="15"/>
        </w:rPr>
        <w:t>该项目位于陕西西安咸阳，主要建设包括高层商务办公</w:t>
      </w:r>
      <w:r>
        <w:rPr>
          <w:spacing w:val="14"/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建筑、配套底层商业以及其他公共服务等配套设施。总高度</w:t>
      </w:r>
      <w:r>
        <w:rPr>
          <w:sz w:val="15"/>
          <w:szCs w:val="15"/>
        </w:rPr>
        <w:t xml:space="preserve"> </w:t>
      </w:r>
      <w:r>
        <w:rPr>
          <w:spacing w:val="5"/>
          <w:sz w:val="15"/>
          <w:szCs w:val="15"/>
        </w:rPr>
        <w:t>约132</w:t>
      </w:r>
      <w:r>
        <w:rPr>
          <w:rFonts w:ascii="Arial" w:hAnsi="Arial" w:eastAsia="Arial" w:cs="Arial"/>
          <w:spacing w:val="5"/>
          <w:sz w:val="15"/>
          <w:szCs w:val="15"/>
        </w:rPr>
        <w:t xml:space="preserve">m,  </w:t>
      </w:r>
      <w:r>
        <w:rPr>
          <w:spacing w:val="5"/>
          <w:sz w:val="15"/>
          <w:szCs w:val="15"/>
        </w:rPr>
        <w:t>地上29层，地下2层，总建筑</w:t>
      </w:r>
      <w:r>
        <w:rPr>
          <w:spacing w:val="4"/>
          <w:sz w:val="15"/>
          <w:szCs w:val="15"/>
        </w:rPr>
        <w:t>面积约19.3万平方</w:t>
      </w:r>
      <w:r>
        <w:rPr>
          <w:sz w:val="15"/>
          <w:szCs w:val="15"/>
        </w:rPr>
        <w:t xml:space="preserve"> </w:t>
      </w:r>
      <w:r>
        <w:rPr>
          <w:spacing w:val="-4"/>
          <w:sz w:val="15"/>
          <w:szCs w:val="15"/>
        </w:rPr>
        <w:t>米。其中地上建筑面积13.6万平方米，地下建筑面</w:t>
      </w:r>
      <w:r>
        <w:rPr>
          <w:spacing w:val="-5"/>
          <w:sz w:val="15"/>
          <w:szCs w:val="15"/>
        </w:rPr>
        <w:t>积5.7万平</w:t>
      </w:r>
      <w:r>
        <w:rPr>
          <w:sz w:val="15"/>
          <w:szCs w:val="15"/>
        </w:rPr>
        <w:t xml:space="preserve"> </w:t>
      </w:r>
      <w:r>
        <w:rPr>
          <w:spacing w:val="-6"/>
          <w:sz w:val="15"/>
          <w:szCs w:val="15"/>
        </w:rPr>
        <w:t>方米。</w:t>
      </w:r>
    </w:p>
    <w:p>
      <w:pPr>
        <w:spacing w:before="16" w:line="2767" w:lineRule="exact"/>
        <w:ind w:firstLine="59"/>
      </w:pPr>
      <w:r>
        <w:rPr>
          <w:position w:val="-55"/>
        </w:rPr>
        <w:drawing>
          <wp:inline distT="0" distB="0" distL="0" distR="0">
            <wp:extent cx="2503805" cy="1756410"/>
            <wp:effectExtent l="0" t="0" r="0" b="0"/>
            <wp:docPr id="44" name="IM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 44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503834" cy="1757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135" w:line="296" w:lineRule="auto"/>
        <w:ind w:left="101" w:right="86" w:firstLine="304"/>
        <w:jc w:val="both"/>
        <w:rPr>
          <w:sz w:val="15"/>
          <w:szCs w:val="15"/>
        </w:rPr>
      </w:pPr>
      <w:r>
        <w:rPr>
          <w:spacing w:val="-14"/>
          <w:sz w:val="15"/>
          <w:szCs w:val="15"/>
        </w:rPr>
        <w:t>设计基于区域”街、廊、庭、院”的整体规划理念，以“街”</w:t>
      </w:r>
      <w:r>
        <w:rPr>
          <w:spacing w:val="14"/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为空间主题，在内外、上下、大小、开放与封闭之间演</w:t>
      </w:r>
      <w:r>
        <w:rPr>
          <w:spacing w:val="-3"/>
          <w:sz w:val="15"/>
          <w:szCs w:val="15"/>
        </w:rPr>
        <w:t>绎街</w:t>
      </w:r>
      <w:r>
        <w:rPr>
          <w:sz w:val="15"/>
          <w:szCs w:val="15"/>
        </w:rPr>
        <w:t xml:space="preserve">   </w:t>
      </w:r>
      <w:r>
        <w:rPr>
          <w:spacing w:val="-2"/>
          <w:sz w:val="15"/>
          <w:szCs w:val="15"/>
        </w:rPr>
        <w:t>道空间的灵活性与趣味性。利用立体错动的街巷空间连接周</w:t>
      </w:r>
      <w:r>
        <w:rPr>
          <w:spacing w:val="3"/>
          <w:sz w:val="15"/>
          <w:szCs w:val="15"/>
        </w:rPr>
        <w:t xml:space="preserve">   </w:t>
      </w:r>
      <w:r>
        <w:rPr>
          <w:spacing w:val="-8"/>
          <w:sz w:val="15"/>
          <w:szCs w:val="15"/>
        </w:rPr>
        <w:t>边，实现区域内功能互补、资源共享。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5143" w:lineRule="exact"/>
      </w:pPr>
      <w:r>
        <w:rPr>
          <w:position w:val="-102"/>
        </w:rPr>
        <w:drawing>
          <wp:inline distT="0" distB="0" distL="0" distR="0">
            <wp:extent cx="2519680" cy="3265805"/>
            <wp:effectExtent l="0" t="0" r="0" b="0"/>
            <wp:docPr id="46" name="IM 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 46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519940" cy="3265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2918" w:lineRule="exact"/>
      </w:pPr>
      <w:r>
        <w:rPr>
          <w:position w:val="-58"/>
        </w:rPr>
        <w:drawing>
          <wp:inline distT="0" distB="0" distL="0" distR="0">
            <wp:extent cx="2493010" cy="1852295"/>
            <wp:effectExtent l="0" t="0" r="0" b="0"/>
            <wp:docPr id="48" name="IM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 48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493158" cy="1852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244" w:line="301" w:lineRule="auto"/>
        <w:ind w:left="16" w:right="144" w:firstLine="287"/>
        <w:jc w:val="both"/>
        <w:rPr>
          <w:sz w:val="15"/>
          <w:szCs w:val="15"/>
        </w:rPr>
      </w:pPr>
      <w:r>
        <w:rPr>
          <w:spacing w:val="-2"/>
          <w:sz w:val="15"/>
          <w:szCs w:val="15"/>
        </w:rPr>
        <w:t>丝路经济带能源金融贸易区作为西咸新区的核心片区承</w:t>
      </w:r>
      <w:r>
        <w:rPr>
          <w:spacing w:val="6"/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载着，建设大西安新中心中央商务区的重要使命。项</w:t>
      </w:r>
      <w:r>
        <w:rPr>
          <w:spacing w:val="-3"/>
          <w:sz w:val="15"/>
          <w:szCs w:val="15"/>
        </w:rPr>
        <w:t>目整体</w:t>
      </w:r>
      <w:r>
        <w:rPr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建成后将实现四个街区地下空间整体互联共享，二层步行系</w:t>
      </w:r>
      <w:r>
        <w:rPr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统无缝衔接的地下、地面、空中全方位的立体化新城</w:t>
      </w:r>
      <w:r>
        <w:rPr>
          <w:spacing w:val="-3"/>
          <w:sz w:val="15"/>
          <w:szCs w:val="15"/>
        </w:rPr>
        <w:t>；实现</w:t>
      </w:r>
      <w:r>
        <w:rPr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高效、可靠、经济、低碳的集中能源供目标；实现集群设计</w:t>
      </w:r>
      <w:r>
        <w:rPr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所形成的复合、高效具有丰富、宜人开放空间的新型商</w:t>
      </w:r>
      <w:r>
        <w:rPr>
          <w:spacing w:val="-3"/>
          <w:sz w:val="15"/>
          <w:szCs w:val="15"/>
        </w:rPr>
        <w:t>务社</w:t>
      </w:r>
      <w:r>
        <w:rPr>
          <w:sz w:val="15"/>
          <w:szCs w:val="15"/>
        </w:rPr>
        <w:t xml:space="preserve"> </w:t>
      </w:r>
      <w:r>
        <w:rPr>
          <w:spacing w:val="-8"/>
          <w:sz w:val="15"/>
          <w:szCs w:val="15"/>
        </w:rPr>
        <w:t>区。</w:t>
      </w:r>
    </w:p>
    <w:p>
      <w:pPr>
        <w:spacing w:line="301" w:lineRule="auto"/>
        <w:rPr>
          <w:sz w:val="15"/>
          <w:szCs w:val="15"/>
        </w:rPr>
        <w:sectPr>
          <w:type w:val="continuous"/>
          <w:pgSz w:w="14250" w:h="31681"/>
          <w:pgMar w:top="860" w:right="846" w:bottom="400" w:left="829" w:header="0" w:footer="0" w:gutter="0"/>
          <w:cols w:equalWidth="0" w:num="3">
            <w:col w:w="4182" w:space="100"/>
            <w:col w:w="4182" w:space="100"/>
            <w:col w:w="4011"/>
          </w:cols>
        </w:sectPr>
      </w:pPr>
    </w:p>
    <w:p>
      <w:pPr>
        <w:pStyle w:val="2"/>
        <w:spacing w:before="160" w:line="1464" w:lineRule="exact"/>
        <w:ind w:firstLine="524"/>
      </w:pPr>
      <w:r>
        <w:rPr>
          <w:position w:val="-29"/>
        </w:rPr>
        <w:pict>
          <v:group id="_x0000_s1045" o:spid="_x0000_s1045" o:spt="203" style="height:73.2pt;width:584.7pt;" coordsize="11694,1463">
            <o:lock v:ext="edit"/>
            <v:shape id="_x0000_s1046" o:spid="_x0000_s1046" o:spt="75" type="#_x0000_t75" style="position:absolute;left:0;top:0;height:1463;width:11694;" filled="f" stroked="f" coordsize="21600,21600">
              <v:path/>
              <v:fill on="f" focussize="0,0"/>
              <v:stroke on="f"/>
              <v:imagedata r:id="rId39" o:title=""/>
              <o:lock v:ext="edit" aspectratio="t"/>
            </v:shape>
            <v:shape id="_x0000_s1047" o:spid="_x0000_s1047" o:spt="202" type="#_x0000_t202" style="position:absolute;left:-20;top:-20;height:1503;width:11734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356" w:line="218" w:lineRule="auto"/>
                      <w:ind w:left="4123"/>
                      <w:rPr>
                        <w:rFonts w:ascii="黑体" w:hAnsi="黑体" w:eastAsia="黑体" w:cs="黑体"/>
                        <w:sz w:val="40"/>
                        <w:szCs w:val="40"/>
                      </w:rPr>
                    </w:pPr>
                    <w:r>
                      <w:rPr>
                        <w:rFonts w:ascii="黑体" w:hAnsi="黑体" w:eastAsia="黑体" w:cs="黑体"/>
                        <w:color w:val="038838"/>
                        <w:spacing w:val="23"/>
                        <w:sz w:val="40"/>
                        <w:szCs w:val="40"/>
                      </w:rPr>
                      <w:t>西部区域项目介绍</w:t>
                    </w:r>
                  </w:p>
                  <w:p>
                    <w:pPr>
                      <w:spacing w:before="1" w:line="223" w:lineRule="auto"/>
                      <w:ind w:left="3040"/>
                      <w:rPr>
                        <w:rFonts w:ascii="黑体" w:hAnsi="黑体" w:eastAsia="黑体" w:cs="黑体"/>
                        <w:sz w:val="40"/>
                        <w:szCs w:val="40"/>
                      </w:rPr>
                    </w:pPr>
                    <w:r>
                      <w:rPr>
                        <w:rFonts w:ascii="黑体" w:hAnsi="黑体" w:eastAsia="黑体" w:cs="黑体"/>
                        <w:color w:val="038838"/>
                        <w:spacing w:val="22"/>
                        <w:sz w:val="40"/>
                        <w:szCs w:val="40"/>
                      </w:rPr>
                      <w:t>渝武高速拓宽改造工程二标段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161" w:lineRule="exact"/>
      </w:pPr>
    </w:p>
    <w:p>
      <w:pPr>
        <w:spacing w:line="161" w:lineRule="exact"/>
        <w:sectPr>
          <w:type w:val="continuous"/>
          <w:pgSz w:w="14250" w:h="31681"/>
          <w:pgMar w:top="860" w:right="846" w:bottom="400" w:left="829" w:header="0" w:footer="0" w:gutter="0"/>
          <w:cols w:equalWidth="0" w:num="1">
            <w:col w:w="12574"/>
          </w:cols>
        </w:sectPr>
      </w:pPr>
    </w:p>
    <w:p>
      <w:pPr>
        <w:pStyle w:val="2"/>
        <w:spacing w:before="80" w:line="300" w:lineRule="auto"/>
        <w:ind w:left="101" w:right="255" w:firstLine="304"/>
        <w:jc w:val="both"/>
        <w:rPr>
          <w:sz w:val="15"/>
          <w:szCs w:val="15"/>
        </w:rPr>
      </w:pPr>
      <w:r>
        <w:rPr>
          <w:spacing w:val="-3"/>
          <w:sz w:val="15"/>
          <w:szCs w:val="15"/>
        </w:rPr>
        <w:t>渝武高速拓宽改造(二期)工程位于两江新区、北暗区之</w:t>
      </w:r>
      <w:r>
        <w:rPr>
          <w:spacing w:val="17"/>
          <w:sz w:val="15"/>
          <w:szCs w:val="15"/>
        </w:rPr>
        <w:t xml:space="preserve"> </w:t>
      </w:r>
      <w:r>
        <w:rPr>
          <w:spacing w:val="3"/>
          <w:sz w:val="15"/>
          <w:szCs w:val="15"/>
        </w:rPr>
        <w:t>间，项目起于金开大道，止于快速路一横线，全长13.9公</w:t>
      </w:r>
      <w:r>
        <w:rPr>
          <w:spacing w:val="16"/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里，设计车速80公里/小时，拟由原有的双向4车道拓宽为双</w:t>
      </w:r>
      <w:r>
        <w:rPr>
          <w:spacing w:val="1"/>
          <w:sz w:val="15"/>
          <w:szCs w:val="15"/>
        </w:rPr>
        <w:t xml:space="preserve"> </w:t>
      </w:r>
      <w:r>
        <w:rPr>
          <w:spacing w:val="-4"/>
          <w:sz w:val="15"/>
          <w:szCs w:val="15"/>
        </w:rPr>
        <w:t>向8车道，主要工程包括特大桥1座(马鞍</w:t>
      </w:r>
      <w:r>
        <w:rPr>
          <w:spacing w:val="-5"/>
          <w:sz w:val="15"/>
          <w:szCs w:val="15"/>
        </w:rPr>
        <w:t>石复线桥)、立交6座</w:t>
      </w:r>
      <w:r>
        <w:rPr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(含组合立交1座)。该项目于2021年3月10日开工建设，目前</w:t>
      </w:r>
      <w:r>
        <w:rPr>
          <w:spacing w:val="7"/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正在进行马鞍石复线桥及蔡家立交土石方施工，拟于2025年</w:t>
      </w:r>
      <w:r>
        <w:rPr>
          <w:spacing w:val="3"/>
          <w:sz w:val="15"/>
          <w:szCs w:val="15"/>
        </w:rPr>
        <w:t xml:space="preserve"> </w:t>
      </w:r>
      <w:r>
        <w:rPr>
          <w:spacing w:val="-5"/>
          <w:sz w:val="15"/>
          <w:szCs w:val="15"/>
        </w:rPr>
        <w:t>建成。由我司提供塔机</w:t>
      </w:r>
      <w:r>
        <w:rPr>
          <w:spacing w:val="-31"/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-5"/>
          <w:sz w:val="15"/>
          <w:szCs w:val="15"/>
        </w:rPr>
        <w:t>STT153—</w:t>
      </w:r>
      <w:r>
        <w:rPr>
          <w:rFonts w:ascii="宋体" w:hAnsi="宋体" w:eastAsia="宋体" w:cs="宋体"/>
          <w:spacing w:val="-26"/>
          <w:sz w:val="15"/>
          <w:szCs w:val="15"/>
        </w:rPr>
        <w:t xml:space="preserve"> </w:t>
      </w:r>
      <w:r>
        <w:rPr>
          <w:spacing w:val="-5"/>
          <w:sz w:val="15"/>
          <w:szCs w:val="15"/>
        </w:rPr>
        <w:t>台。</w:t>
      </w:r>
    </w:p>
    <w:p>
      <w:pPr>
        <w:spacing w:before="7" w:line="2598" w:lineRule="exact"/>
        <w:ind w:firstLine="42"/>
      </w:pPr>
      <w:r>
        <w:rPr>
          <w:position w:val="-51"/>
        </w:rPr>
        <w:drawing>
          <wp:inline distT="0" distB="0" distL="0" distR="0">
            <wp:extent cx="2524760" cy="1649095"/>
            <wp:effectExtent l="0" t="0" r="0" b="0"/>
            <wp:docPr id="50" name="IM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 50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525369" cy="1649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49" w:line="279" w:lineRule="auto"/>
        <w:ind w:left="101" w:right="240" w:firstLine="304"/>
        <w:jc w:val="both"/>
        <w:rPr>
          <w:sz w:val="15"/>
          <w:szCs w:val="15"/>
        </w:rPr>
      </w:pPr>
      <w:r>
        <w:rPr>
          <w:spacing w:val="-2"/>
          <w:sz w:val="15"/>
          <w:szCs w:val="15"/>
        </w:rPr>
        <w:t>项目建成后将进一步完善城市骨架路网，有效缓解渝武</w:t>
      </w:r>
      <w:r>
        <w:rPr>
          <w:spacing w:val="7"/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高速的交通压力，推动北暗、蔡家、礼嘉及两江新区等组团</w:t>
      </w:r>
      <w:r>
        <w:rPr>
          <w:spacing w:val="6"/>
          <w:sz w:val="15"/>
          <w:szCs w:val="15"/>
        </w:rPr>
        <w:t xml:space="preserve"> </w:t>
      </w:r>
      <w:r>
        <w:rPr>
          <w:spacing w:val="-3"/>
          <w:sz w:val="15"/>
          <w:szCs w:val="15"/>
        </w:rPr>
        <w:t>协同发展，重庆中心城区北部主要的融城通道将</w:t>
      </w:r>
      <w:r>
        <w:rPr>
          <w:spacing w:val="-4"/>
          <w:sz w:val="15"/>
          <w:szCs w:val="15"/>
        </w:rPr>
        <w:t>更加通畅、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2"/>
        <w:spacing w:before="80" w:line="202" w:lineRule="auto"/>
        <w:ind w:left="42"/>
        <w:rPr>
          <w:sz w:val="15"/>
          <w:szCs w:val="15"/>
        </w:rPr>
      </w:pPr>
      <w:r>
        <w:rPr>
          <w:spacing w:val="-10"/>
          <w:sz w:val="15"/>
          <w:szCs w:val="15"/>
        </w:rPr>
        <w:t>便捷。</w:t>
      </w:r>
    </w:p>
    <w:p>
      <w:pPr>
        <w:spacing w:line="3080" w:lineRule="exact"/>
      </w:pPr>
      <w:r>
        <w:rPr>
          <w:position w:val="-62"/>
        </w:rPr>
        <w:drawing>
          <wp:inline distT="0" distB="0" distL="0" distR="0">
            <wp:extent cx="2519680" cy="1955800"/>
            <wp:effectExtent l="0" t="0" r="0" b="0"/>
            <wp:docPr id="52" name="IM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 52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519940" cy="195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117" w:line="273" w:lineRule="auto"/>
        <w:ind w:left="42" w:right="272" w:firstLine="279"/>
        <w:jc w:val="both"/>
        <w:rPr>
          <w:rFonts w:ascii="宋体" w:hAnsi="宋体" w:eastAsia="宋体" w:cs="宋体"/>
          <w:sz w:val="15"/>
          <w:szCs w:val="15"/>
        </w:rPr>
      </w:pPr>
      <w:r>
        <w:rPr>
          <w:sz w:val="15"/>
          <w:szCs w:val="15"/>
        </w:rPr>
        <w:t>该项目主墩为双薄壁空心墩，墩高为42</w:t>
      </w:r>
      <w:r>
        <w:rPr>
          <w:rFonts w:ascii="宋体" w:hAnsi="宋体" w:eastAsia="宋体" w:cs="宋体"/>
          <w:sz w:val="15"/>
          <w:szCs w:val="15"/>
        </w:rPr>
        <w:t>m,</w:t>
      </w:r>
      <w:r>
        <w:rPr>
          <w:rFonts w:ascii="宋体" w:hAnsi="宋体" w:eastAsia="宋体" w:cs="宋体"/>
          <w:spacing w:val="36"/>
          <w:w w:val="101"/>
          <w:sz w:val="15"/>
          <w:szCs w:val="15"/>
        </w:rPr>
        <w:t xml:space="preserve"> </w:t>
      </w:r>
      <w:r>
        <w:rPr>
          <w:sz w:val="15"/>
          <w:szCs w:val="15"/>
        </w:rPr>
        <w:t xml:space="preserve">双薄壁之间 </w:t>
      </w:r>
      <w:r>
        <w:rPr>
          <w:spacing w:val="-5"/>
          <w:sz w:val="15"/>
          <w:szCs w:val="15"/>
        </w:rPr>
        <w:t>的净距为9</w:t>
      </w:r>
      <w:r>
        <w:rPr>
          <w:rFonts w:ascii="Arial" w:hAnsi="Arial" w:eastAsia="Arial" w:cs="Arial"/>
          <w:spacing w:val="-5"/>
          <w:sz w:val="15"/>
          <w:szCs w:val="15"/>
        </w:rPr>
        <w:t>m,</w:t>
      </w:r>
      <w:r>
        <w:rPr>
          <w:rFonts w:ascii="Arial" w:hAnsi="Arial" w:eastAsia="Arial" w:cs="Arial"/>
          <w:spacing w:val="10"/>
          <w:sz w:val="15"/>
          <w:szCs w:val="15"/>
        </w:rPr>
        <w:t xml:space="preserve">  </w:t>
      </w:r>
      <w:r>
        <w:rPr>
          <w:spacing w:val="-5"/>
          <w:sz w:val="15"/>
          <w:szCs w:val="15"/>
        </w:rPr>
        <w:t>单肢薄壁截面尺寸为13.5×2.5</w:t>
      </w:r>
      <w:r>
        <w:rPr>
          <w:rFonts w:ascii="Arial" w:hAnsi="Arial" w:eastAsia="Arial" w:cs="Arial"/>
          <w:spacing w:val="-5"/>
          <w:sz w:val="15"/>
          <w:szCs w:val="15"/>
        </w:rPr>
        <w:t>m,</w:t>
      </w:r>
      <w:r>
        <w:rPr>
          <w:rFonts w:ascii="Arial" w:hAnsi="Arial" w:eastAsia="Arial" w:cs="Arial"/>
          <w:spacing w:val="10"/>
          <w:sz w:val="15"/>
          <w:szCs w:val="15"/>
        </w:rPr>
        <w:t xml:space="preserve">  </w:t>
      </w:r>
      <w:r>
        <w:rPr>
          <w:spacing w:val="-5"/>
          <w:sz w:val="15"/>
          <w:szCs w:val="15"/>
        </w:rPr>
        <w:t>墩身</w:t>
      </w:r>
      <w:r>
        <w:rPr>
          <w:spacing w:val="-6"/>
          <w:sz w:val="15"/>
          <w:szCs w:val="15"/>
        </w:rPr>
        <w:t>采用单</w:t>
      </w:r>
      <w:r>
        <w:rPr>
          <w:sz w:val="15"/>
          <w:szCs w:val="15"/>
        </w:rPr>
        <w:t xml:space="preserve"> </w:t>
      </w:r>
      <w:r>
        <w:rPr>
          <w:spacing w:val="-5"/>
          <w:sz w:val="15"/>
          <w:szCs w:val="15"/>
        </w:rPr>
        <w:t>箱双室截面，顺桥向壁厚0.75</w:t>
      </w:r>
      <w:r>
        <w:rPr>
          <w:rFonts w:ascii="宋体" w:hAnsi="宋体" w:eastAsia="宋体" w:cs="宋体"/>
          <w:spacing w:val="-5"/>
          <w:sz w:val="15"/>
          <w:szCs w:val="15"/>
        </w:rPr>
        <w:t>m,</w:t>
      </w:r>
      <w:r>
        <w:rPr>
          <w:rFonts w:ascii="宋体" w:hAnsi="宋体" w:eastAsia="宋体" w:cs="宋体"/>
          <w:spacing w:val="45"/>
          <w:sz w:val="15"/>
          <w:szCs w:val="15"/>
        </w:rPr>
        <w:t xml:space="preserve"> </w:t>
      </w:r>
      <w:r>
        <w:rPr>
          <w:spacing w:val="-5"/>
          <w:sz w:val="15"/>
          <w:szCs w:val="15"/>
        </w:rPr>
        <w:t>横桥向壁厚1.2</w:t>
      </w:r>
      <w:r>
        <w:rPr>
          <w:rFonts w:ascii="宋体" w:hAnsi="宋体" w:eastAsia="宋体" w:cs="宋体"/>
          <w:spacing w:val="-5"/>
          <w:sz w:val="15"/>
          <w:szCs w:val="15"/>
        </w:rPr>
        <w:t>m。</w:t>
      </w:r>
    </w:p>
    <w:p>
      <w:pPr>
        <w:pStyle w:val="2"/>
        <w:spacing w:before="93" w:line="278" w:lineRule="auto"/>
        <w:ind w:left="42" w:right="282" w:firstLine="279"/>
        <w:jc w:val="both"/>
        <w:rPr>
          <w:sz w:val="15"/>
          <w:szCs w:val="15"/>
        </w:rPr>
      </w:pPr>
      <w:r>
        <w:rPr>
          <w:spacing w:val="-2"/>
          <w:sz w:val="15"/>
          <w:szCs w:val="15"/>
        </w:rPr>
        <w:t>该项目的承接是中核華興達豐在重庆核心市场的又</w:t>
      </w:r>
      <w:r>
        <w:rPr>
          <w:spacing w:val="-3"/>
          <w:sz w:val="15"/>
          <w:szCs w:val="15"/>
        </w:rPr>
        <w:t>一次</w:t>
      </w:r>
      <w:r>
        <w:rPr>
          <w:sz w:val="15"/>
          <w:szCs w:val="15"/>
        </w:rPr>
        <w:t xml:space="preserve"> </w:t>
      </w:r>
      <w:r>
        <w:rPr>
          <w:spacing w:val="-3"/>
          <w:sz w:val="15"/>
          <w:szCs w:val="15"/>
        </w:rPr>
        <w:t>突破，进一步丰富了我司的桥梁业绩。始终坚持“以匠人之</w:t>
      </w:r>
      <w:r>
        <w:rPr>
          <w:spacing w:val="7"/>
          <w:sz w:val="15"/>
          <w:szCs w:val="15"/>
        </w:rPr>
        <w:t xml:space="preserve"> </w:t>
      </w:r>
      <w:r>
        <w:rPr>
          <w:spacing w:val="-14"/>
          <w:sz w:val="15"/>
          <w:szCs w:val="15"/>
        </w:rPr>
        <w:t>心，做品质服务”的经营理念。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4932" w:lineRule="exact"/>
      </w:pPr>
      <w:r>
        <w:rPr>
          <w:position w:val="-98"/>
        </w:rPr>
        <w:drawing>
          <wp:inline distT="0" distB="0" distL="0" distR="0">
            <wp:extent cx="2476500" cy="3131185"/>
            <wp:effectExtent l="0" t="0" r="0" b="0"/>
            <wp:docPr id="54" name="IM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 54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477051" cy="31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932" w:lineRule="exact"/>
        <w:sectPr>
          <w:type w:val="continuous"/>
          <w:pgSz w:w="14250" w:h="31681"/>
          <w:pgMar w:top="860" w:right="846" w:bottom="400" w:left="829" w:header="0" w:footer="0" w:gutter="0"/>
          <w:cols w:equalWidth="0" w:num="3">
            <w:col w:w="4207" w:space="100"/>
            <w:col w:w="4157" w:space="100"/>
            <w:col w:w="4011"/>
          </w:cols>
        </w:sectPr>
      </w:pPr>
    </w:p>
    <w:p>
      <w:pPr>
        <w:pStyle w:val="2"/>
        <w:spacing w:before="236" w:line="1455" w:lineRule="exact"/>
        <w:ind w:firstLine="338"/>
      </w:pPr>
      <w:r>
        <w:rPr>
          <w:position w:val="-29"/>
        </w:rPr>
        <w:pict>
          <v:group id="_x0000_s1048" o:spid="_x0000_s1048" o:spt="203" style="height:72.8pt;width:589.35pt;" coordsize="11786,1456">
            <o:lock v:ext="edit"/>
            <v:shape id="_x0000_s1049" o:spid="_x0000_s1049" o:spt="75" type="#_x0000_t75" style="position:absolute;left:0;top:0;height:1456;width:11786;" filled="f" stroked="f" coordsize="21600,21600">
              <v:path/>
              <v:fill on="f" focussize="0,0"/>
              <v:stroke on="f"/>
              <v:imagedata r:id="rId43" o:title=""/>
              <o:lock v:ext="edit" aspectratio="t"/>
            </v:shape>
            <v:shape id="_x0000_s1050" o:spid="_x0000_s1050" o:spt="202" type="#_x0000_t202" style="position:absolute;left:-20;top:-20;height:1496;width:11826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323" w:line="224" w:lineRule="auto"/>
                      <w:ind w:left="4310"/>
                      <w:rPr>
                        <w:rFonts w:ascii="黑体" w:hAnsi="黑体" w:eastAsia="黑体" w:cs="黑体"/>
                        <w:sz w:val="40"/>
                        <w:szCs w:val="40"/>
                      </w:rPr>
                    </w:pPr>
                    <w:r>
                      <w:rPr>
                        <w:rFonts w:ascii="黑体" w:hAnsi="黑体" w:eastAsia="黑体" w:cs="黑体"/>
                        <w:color w:val="038838"/>
                        <w:spacing w:val="23"/>
                        <w:sz w:val="40"/>
                        <w:szCs w:val="40"/>
                      </w:rPr>
                      <w:t>西部区域项目介绍</w:t>
                    </w:r>
                  </w:p>
                  <w:p>
                    <w:pPr>
                      <w:spacing w:before="2" w:line="224" w:lineRule="auto"/>
                      <w:ind w:left="3023"/>
                      <w:rPr>
                        <w:rFonts w:ascii="黑体" w:hAnsi="黑体" w:eastAsia="黑体" w:cs="黑体"/>
                        <w:sz w:val="40"/>
                        <w:szCs w:val="40"/>
                      </w:rPr>
                    </w:pPr>
                    <w:r>
                      <w:rPr>
                        <w:rFonts w:ascii="黑体" w:hAnsi="黑体" w:eastAsia="黑体" w:cs="黑体"/>
                        <w:color w:val="038838"/>
                        <w:spacing w:val="24"/>
                        <w:sz w:val="40"/>
                        <w:szCs w:val="40"/>
                      </w:rPr>
                      <w:t>重庆两江新区第一人民医院项目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179" w:lineRule="exact"/>
      </w:pPr>
    </w:p>
    <w:p>
      <w:pPr>
        <w:spacing w:line="179" w:lineRule="exact"/>
        <w:sectPr>
          <w:type w:val="continuous"/>
          <w:pgSz w:w="14250" w:h="31681"/>
          <w:pgMar w:top="860" w:right="846" w:bottom="400" w:left="829" w:header="0" w:footer="0" w:gutter="0"/>
          <w:cols w:equalWidth="0" w:num="1">
            <w:col w:w="12574"/>
          </w:cols>
        </w:sectPr>
      </w:pPr>
    </w:p>
    <w:p>
      <w:pPr>
        <w:pStyle w:val="2"/>
        <w:spacing w:before="35" w:line="302" w:lineRule="auto"/>
        <w:ind w:left="101" w:right="181" w:firstLine="304"/>
        <w:rPr>
          <w:sz w:val="15"/>
          <w:szCs w:val="15"/>
        </w:rPr>
      </w:pPr>
      <w:r>
        <w:rPr>
          <w:spacing w:val="-2"/>
          <w:sz w:val="15"/>
          <w:szCs w:val="15"/>
        </w:rPr>
        <w:t>重庆两江新区第一人民医院扩建项目位于重庆市两江新</w:t>
      </w:r>
      <w:r>
        <w:rPr>
          <w:spacing w:val="6"/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区，拟建场地北侧紧邻金开大道，东侧紧邻人兴路，南侧紧</w:t>
      </w:r>
      <w:r>
        <w:rPr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邻吉乐大道，西侧紧邻人和大道，可直达施工现场，</w:t>
      </w:r>
      <w:r>
        <w:rPr>
          <w:spacing w:val="-3"/>
          <w:sz w:val="15"/>
          <w:szCs w:val="15"/>
        </w:rPr>
        <w:t>交通条</w:t>
      </w:r>
      <w:r>
        <w:rPr>
          <w:sz w:val="15"/>
          <w:szCs w:val="15"/>
        </w:rPr>
        <w:t xml:space="preserve"> </w:t>
      </w:r>
      <w:r>
        <w:rPr>
          <w:spacing w:val="-7"/>
          <w:sz w:val="15"/>
          <w:szCs w:val="15"/>
        </w:rPr>
        <w:t>件较好。</w:t>
      </w:r>
      <w:r>
        <w:rPr>
          <w:spacing w:val="57"/>
          <w:sz w:val="15"/>
          <w:szCs w:val="15"/>
        </w:rPr>
        <w:t xml:space="preserve"> </w:t>
      </w:r>
      <w:r>
        <w:rPr>
          <w:spacing w:val="-7"/>
          <w:sz w:val="15"/>
          <w:szCs w:val="15"/>
        </w:rPr>
        <w:t>是一所集医疗、教学、急救、预防保健和康复养老</w:t>
      </w:r>
      <w:r>
        <w:rPr>
          <w:sz w:val="15"/>
          <w:szCs w:val="15"/>
        </w:rPr>
        <w:t xml:space="preserve"> </w:t>
      </w:r>
      <w:r>
        <w:rPr>
          <w:spacing w:val="-4"/>
          <w:sz w:val="15"/>
          <w:szCs w:val="15"/>
        </w:rPr>
        <w:t xml:space="preserve">为一体的综合性三级医院，承担两江新区重要的医疗服务、 </w:t>
      </w:r>
      <w:r>
        <w:rPr>
          <w:spacing w:val="-3"/>
          <w:sz w:val="15"/>
          <w:szCs w:val="15"/>
        </w:rPr>
        <w:t>预防保健、卫计培训、疾病防控、健康教育、公卫服务、妇</w:t>
      </w:r>
      <w:r>
        <w:rPr>
          <w:spacing w:val="14"/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幼计生工作，是两江新区医疗健康领域和公共卫生应急体系</w:t>
      </w:r>
      <w:r>
        <w:rPr>
          <w:sz w:val="15"/>
          <w:szCs w:val="15"/>
        </w:rPr>
        <w:t xml:space="preserve"> </w:t>
      </w:r>
      <w:r>
        <w:rPr>
          <w:spacing w:val="-3"/>
          <w:sz w:val="15"/>
          <w:szCs w:val="15"/>
        </w:rPr>
        <w:t>的中坚力量。</w:t>
      </w:r>
    </w:p>
    <w:p>
      <w:pPr>
        <w:spacing w:before="23" w:line="2285" w:lineRule="exact"/>
        <w:ind w:firstLine="50"/>
      </w:pPr>
      <w:r>
        <w:rPr>
          <w:position w:val="-45"/>
        </w:rPr>
        <w:drawing>
          <wp:inline distT="0" distB="0" distL="0" distR="0">
            <wp:extent cx="2503805" cy="1450340"/>
            <wp:effectExtent l="0" t="0" r="0" b="0"/>
            <wp:docPr id="56" name="IM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 56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503834" cy="1450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107" w:line="299" w:lineRule="auto"/>
        <w:ind w:left="101" w:right="191" w:firstLine="304"/>
        <w:jc w:val="both"/>
        <w:rPr>
          <w:sz w:val="15"/>
          <w:szCs w:val="15"/>
        </w:rPr>
      </w:pPr>
      <w:r>
        <w:rPr>
          <w:spacing w:val="-1"/>
          <w:sz w:val="15"/>
          <w:szCs w:val="15"/>
        </w:rPr>
        <w:t>该项目总占地面积48071.46</w:t>
      </w:r>
      <w:r>
        <w:rPr>
          <w:rFonts w:ascii="宋体" w:hAnsi="宋体" w:eastAsia="宋体" w:cs="宋体"/>
          <w:spacing w:val="-1"/>
          <w:sz w:val="15"/>
          <w:szCs w:val="15"/>
        </w:rPr>
        <w:t>m²,</w:t>
      </w:r>
      <w:r>
        <w:rPr>
          <w:rFonts w:ascii="宋体" w:hAnsi="宋体" w:eastAsia="宋体" w:cs="宋体"/>
          <w:spacing w:val="-29"/>
          <w:sz w:val="15"/>
          <w:szCs w:val="15"/>
        </w:rPr>
        <w:t xml:space="preserve"> </w:t>
      </w:r>
      <w:r>
        <w:rPr>
          <w:spacing w:val="-1"/>
          <w:sz w:val="15"/>
          <w:szCs w:val="15"/>
        </w:rPr>
        <w:t>基地呈长方形，南北宽</w:t>
      </w:r>
      <w:r>
        <w:rPr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约133米，东西长约350米。新院区位于人和街道古木峰立交</w:t>
      </w:r>
      <w:r>
        <w:rPr>
          <w:spacing w:val="7"/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旁，占地面积约72亩，总建筑面积约26.5万平方</w:t>
      </w:r>
      <w:r>
        <w:rPr>
          <w:spacing w:val="-3"/>
          <w:sz w:val="15"/>
          <w:szCs w:val="15"/>
        </w:rPr>
        <w:t>米，包含门</w:t>
      </w:r>
      <w:r>
        <w:rPr>
          <w:sz w:val="15"/>
          <w:szCs w:val="15"/>
        </w:rPr>
        <w:t xml:space="preserve"> </w:t>
      </w:r>
      <w:r>
        <w:rPr>
          <w:rFonts w:ascii="宋体" w:hAnsi="宋体" w:eastAsia="宋体" w:cs="宋体"/>
          <w:spacing w:val="-2"/>
          <w:sz w:val="15"/>
          <w:szCs w:val="15"/>
        </w:rPr>
        <w:t>诊楼、医技楼、住院综合楼、科教楼、感染楼等建筑及附属</w:t>
      </w:r>
      <w:r>
        <w:rPr>
          <w:rFonts w:ascii="宋体" w:hAnsi="宋体" w:eastAsia="宋体" w:cs="宋体"/>
          <w:spacing w:val="5"/>
          <w:sz w:val="15"/>
          <w:szCs w:val="15"/>
        </w:rPr>
        <w:t xml:space="preserve"> </w:t>
      </w:r>
      <w:r>
        <w:rPr>
          <w:spacing w:val="1"/>
          <w:sz w:val="15"/>
          <w:szCs w:val="15"/>
        </w:rPr>
        <w:t xml:space="preserve">工程，建设床位1000张(预留拓展至1200张)。由医疗综合 </w:t>
      </w:r>
      <w:r>
        <w:rPr>
          <w:spacing w:val="-2"/>
          <w:sz w:val="15"/>
          <w:szCs w:val="15"/>
        </w:rPr>
        <w:t>楼、污水处理站、液氧站组成。作为新区重要民生实事和城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2"/>
        <w:spacing w:before="30" w:line="272" w:lineRule="auto"/>
        <w:ind w:left="101" w:right="202"/>
        <w:rPr>
          <w:sz w:val="15"/>
          <w:szCs w:val="15"/>
        </w:rPr>
      </w:pPr>
      <w:r>
        <w:rPr>
          <w:spacing w:val="12"/>
          <w:sz w:val="15"/>
          <w:szCs w:val="15"/>
        </w:rPr>
        <w:t>市品质提升工程，该院新院区于2021年7月开工，计划</w:t>
      </w:r>
      <w:r>
        <w:rPr>
          <w:sz w:val="15"/>
          <w:szCs w:val="15"/>
        </w:rPr>
        <w:t xml:space="preserve"> </w:t>
      </w:r>
      <w:r>
        <w:rPr>
          <w:spacing w:val="-1"/>
          <w:sz w:val="15"/>
          <w:szCs w:val="15"/>
        </w:rPr>
        <w:t>2024年建成投用。由我司提供塔机两台WA6515-8E、</w:t>
      </w:r>
      <w:r>
        <w:rPr>
          <w:spacing w:val="28"/>
          <w:sz w:val="15"/>
          <w:szCs w:val="15"/>
        </w:rPr>
        <w:t xml:space="preserve">  </w:t>
      </w:r>
      <w:r>
        <w:rPr>
          <w:spacing w:val="-1"/>
          <w:sz w:val="15"/>
          <w:szCs w:val="15"/>
        </w:rPr>
        <w:t>两台</w:t>
      </w:r>
    </w:p>
    <w:p>
      <w:pPr>
        <w:pStyle w:val="2"/>
        <w:spacing w:before="84" w:line="219" w:lineRule="auto"/>
        <w:ind w:left="101"/>
        <w:rPr>
          <w:sz w:val="15"/>
          <w:szCs w:val="15"/>
        </w:rPr>
      </w:pPr>
      <w:r>
        <w:rPr>
          <w:rFonts w:ascii="宋体" w:hAnsi="宋体" w:eastAsia="宋体" w:cs="宋体"/>
          <w:spacing w:val="-7"/>
          <w:sz w:val="15"/>
          <w:szCs w:val="15"/>
        </w:rPr>
        <w:t>STT553、</w:t>
      </w:r>
      <w:r>
        <w:rPr>
          <w:rFonts w:ascii="宋体" w:hAnsi="宋体" w:eastAsia="宋体" w:cs="宋体"/>
          <w:spacing w:val="41"/>
          <w:w w:val="101"/>
          <w:sz w:val="15"/>
          <w:szCs w:val="15"/>
        </w:rPr>
        <w:t xml:space="preserve"> </w:t>
      </w:r>
      <w:r>
        <w:rPr>
          <w:spacing w:val="-7"/>
          <w:sz w:val="15"/>
          <w:szCs w:val="15"/>
        </w:rPr>
        <w:t>一台</w:t>
      </w:r>
      <w:r>
        <w:rPr>
          <w:rFonts w:ascii="宋体" w:hAnsi="宋体" w:eastAsia="宋体" w:cs="宋体"/>
          <w:spacing w:val="-7"/>
          <w:sz w:val="15"/>
          <w:szCs w:val="15"/>
        </w:rPr>
        <w:t>STT373、</w:t>
      </w:r>
      <w:r>
        <w:rPr>
          <w:rFonts w:ascii="宋体" w:hAnsi="宋体" w:eastAsia="宋体" w:cs="宋体"/>
          <w:spacing w:val="33"/>
          <w:sz w:val="15"/>
          <w:szCs w:val="15"/>
        </w:rPr>
        <w:t xml:space="preserve"> </w:t>
      </w:r>
      <w:r>
        <w:rPr>
          <w:spacing w:val="-7"/>
          <w:sz w:val="15"/>
          <w:szCs w:val="15"/>
        </w:rPr>
        <w:t>三台JP7020。</w:t>
      </w:r>
    </w:p>
    <w:p>
      <w:pPr>
        <w:spacing w:line="5271" w:lineRule="exact"/>
      </w:pPr>
      <w:r>
        <w:rPr>
          <w:position w:val="-105"/>
        </w:rPr>
        <w:drawing>
          <wp:inline distT="0" distB="0" distL="0" distR="0">
            <wp:extent cx="2567940" cy="3347085"/>
            <wp:effectExtent l="0" t="0" r="0" b="0"/>
            <wp:docPr id="58" name="IM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 58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568348" cy="334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2"/>
        <w:spacing w:before="36" w:line="294" w:lineRule="auto"/>
        <w:ind w:firstLine="363"/>
        <w:jc w:val="both"/>
        <w:rPr>
          <w:sz w:val="15"/>
          <w:szCs w:val="15"/>
        </w:rPr>
      </w:pPr>
      <w:r>
        <w:rPr>
          <w:spacing w:val="-13"/>
          <w:sz w:val="15"/>
          <w:szCs w:val="15"/>
        </w:rPr>
        <w:t>项目一直以创建“中国建筑工程鲁班奖”“中国钢结构金奖”</w:t>
      </w:r>
      <w:r>
        <w:rPr>
          <w:spacing w:val="4"/>
          <w:sz w:val="15"/>
          <w:szCs w:val="15"/>
        </w:rPr>
        <w:t xml:space="preserve"> </w:t>
      </w:r>
      <w:r>
        <w:rPr>
          <w:spacing w:val="-10"/>
          <w:sz w:val="15"/>
          <w:szCs w:val="15"/>
        </w:rPr>
        <w:t>“中国安装工程优质奖”为建设目标。目前已通过“三星级智慧</w:t>
      </w:r>
      <w:r>
        <w:rPr>
          <w:spacing w:val="1"/>
          <w:sz w:val="15"/>
          <w:szCs w:val="15"/>
        </w:rPr>
        <w:t xml:space="preserve">   </w:t>
      </w:r>
      <w:r>
        <w:rPr>
          <w:spacing w:val="-4"/>
          <w:sz w:val="15"/>
          <w:szCs w:val="15"/>
        </w:rPr>
        <w:t>工地”认证，将持续借助</w:t>
      </w:r>
      <w:r>
        <w:rPr>
          <w:rFonts w:ascii="Times New Roman" w:hAnsi="Times New Roman" w:eastAsia="Times New Roman" w:cs="Times New Roman"/>
          <w:spacing w:val="-4"/>
          <w:sz w:val="15"/>
          <w:szCs w:val="15"/>
        </w:rPr>
        <w:t>BIM</w:t>
      </w:r>
      <w:r>
        <w:rPr>
          <w:spacing w:val="-4"/>
          <w:sz w:val="15"/>
          <w:szCs w:val="15"/>
        </w:rPr>
        <w:t>技术、数字管理平台、信息化管</w:t>
      </w:r>
      <w:r>
        <w:rPr>
          <w:sz w:val="15"/>
          <w:szCs w:val="15"/>
        </w:rPr>
        <w:t xml:space="preserve">   </w:t>
      </w:r>
      <w:r>
        <w:rPr>
          <w:spacing w:val="-4"/>
          <w:sz w:val="15"/>
          <w:szCs w:val="15"/>
        </w:rPr>
        <w:t>理等手段，有力助推项目高标准、高质量、高速度建</w:t>
      </w:r>
      <w:r>
        <w:rPr>
          <w:spacing w:val="-5"/>
          <w:sz w:val="15"/>
          <w:szCs w:val="15"/>
        </w:rPr>
        <w:t>设。</w:t>
      </w:r>
    </w:p>
    <w:p>
      <w:pPr>
        <w:spacing w:before="4" w:line="2894" w:lineRule="exact"/>
        <w:ind w:firstLine="50"/>
      </w:pPr>
      <w:r>
        <w:rPr>
          <w:position w:val="-57"/>
        </w:rPr>
        <w:drawing>
          <wp:inline distT="0" distB="0" distL="0" distR="0">
            <wp:extent cx="2498090" cy="1837055"/>
            <wp:effectExtent l="0" t="0" r="0" b="0"/>
            <wp:docPr id="60" name="IM 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 60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498496" cy="1837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line="214" w:lineRule="auto"/>
        <w:ind w:left="363"/>
        <w:rPr>
          <w:sz w:val="15"/>
          <w:szCs w:val="15"/>
        </w:rPr>
      </w:pPr>
      <w:r>
        <w:rPr>
          <w:spacing w:val="-8"/>
          <w:sz w:val="15"/>
          <w:szCs w:val="15"/>
        </w:rPr>
        <w:t>中核華興逵豐作为该项目的具体施工单位，始终坚持“以</w:t>
      </w:r>
    </w:p>
    <w:p>
      <w:pPr>
        <w:pStyle w:val="2"/>
        <w:spacing w:before="105" w:line="280" w:lineRule="auto"/>
        <w:ind w:left="76" w:right="144"/>
        <w:rPr>
          <w:sz w:val="15"/>
          <w:szCs w:val="15"/>
        </w:rPr>
      </w:pPr>
      <w:r>
        <w:rPr>
          <w:spacing w:val="-9"/>
          <w:sz w:val="15"/>
          <w:szCs w:val="15"/>
        </w:rPr>
        <w:t>匠人之心，做品质服务”的经营理念，精心组织、严格管理。</w:t>
      </w:r>
      <w:r>
        <w:rPr>
          <w:spacing w:val="15"/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从工程进度、施工质量、安全文明等方面入手，实行工期计</w:t>
      </w:r>
      <w:r>
        <w:rPr>
          <w:sz w:val="15"/>
          <w:szCs w:val="15"/>
        </w:rPr>
        <w:t xml:space="preserve"> </w:t>
      </w:r>
      <w:r>
        <w:rPr>
          <w:spacing w:val="-7"/>
          <w:sz w:val="15"/>
          <w:szCs w:val="15"/>
        </w:rPr>
        <w:t>划管理，高起点、高标准、高要求，取得了良好效果。</w:t>
      </w:r>
    </w:p>
    <w:sectPr>
      <w:type w:val="continuous"/>
      <w:pgSz w:w="14250" w:h="31681"/>
      <w:pgMar w:top="860" w:right="846" w:bottom="400" w:left="829" w:header="0" w:footer="0" w:gutter="0"/>
      <w:cols w:equalWidth="0" w:num="3">
        <w:col w:w="4148" w:space="100"/>
        <w:col w:w="4157" w:space="100"/>
        <w:col w:w="407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04" w:lineRule="auto"/>
      <w:rPr>
        <w:rFonts w:ascii="Arial"/>
        <w:sz w:val="2"/>
      </w:rPr>
    </w:pPr>
    <w:r>
      <w:pict>
        <v:rect id="_x0000_s2049" o:spid="_x0000_s2049" o:spt="1" style="position:absolute;left:0pt;margin-left:54.95pt;margin-top:851.5pt;height:1pt;width:730.55pt;mso-position-horizontal-relative:page;mso-position-vertical-relative:page;z-index:251659264;mso-width-relative:page;mso-height-relative:page;" fillcolor="#000000" filled="t" stroked="f" coordsize="21600,21600" o:allowincell="f">
          <v:path/>
          <v:fill on="t" focussize="0,0"/>
          <v:stroke on="f"/>
          <v:imagedata o:title=""/>
          <o:lock v:ext="edit"/>
        </v:rect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05" w:lineRule="auto"/>
      <w:rPr>
        <w:rFonts w:ascii="Arial"/>
        <w:sz w:val="2"/>
      </w:rPr>
    </w:pPr>
    <w:r>
      <w:pict>
        <v:rect id="_x0000_s2050" o:spid="_x0000_s2050" o:spt="1" style="position:absolute;left:0pt;margin-left:56pt;margin-top:432.95pt;height:1.05pt;width:730pt;mso-position-horizontal-relative:page;mso-position-vertical-relative:page;z-index:251660288;mso-width-relative:page;mso-height-relative:page;" fillcolor="#000000" filled="t" stroked="f" coordsize="21600,21600" o:allowincell="f">
          <v:path/>
          <v:fill on="t" focussize="0,0"/>
          <v:stroke on="f"/>
          <v:imagedata o:title=""/>
          <o:lock v:ext="edit"/>
        </v:rect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pict>
        <v:rect id="_x0000_s2051" o:spid="_x0000_s2051" o:spt="1" style="position:absolute;left:0pt;margin-left:54.95pt;margin-top:532pt;height:0.55pt;width:730.55pt;mso-position-horizontal-relative:page;mso-position-vertical-relative:page;z-index:251661312;mso-width-relative:page;mso-height-relative:page;" fillcolor="#000000" filled="t" stroked="f" coordsize="21600,21600" o:allowincell="f">
          <v:path/>
          <v:fill on="t" focussize="0,0"/>
          <v:stroke on="f"/>
          <v:imagedata o:title=""/>
          <o:lock v:ext="edit"/>
        </v:rect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568B69A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黑体" w:hAnsi="黑体" w:eastAsia="黑体" w:cs="黑体"/>
      <w:sz w:val="17"/>
      <w:szCs w:val="17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8" Type="http://schemas.openxmlformats.org/officeDocument/2006/relationships/fontTable" Target="fontTable.xml"/><Relationship Id="rId47" Type="http://schemas.openxmlformats.org/officeDocument/2006/relationships/customXml" Target="../customXml/item1.xml"/><Relationship Id="rId46" Type="http://schemas.openxmlformats.org/officeDocument/2006/relationships/image" Target="media/image37.jpeg"/><Relationship Id="rId45" Type="http://schemas.openxmlformats.org/officeDocument/2006/relationships/image" Target="media/image36.jpeg"/><Relationship Id="rId44" Type="http://schemas.openxmlformats.org/officeDocument/2006/relationships/image" Target="media/image35.jpeg"/><Relationship Id="rId43" Type="http://schemas.openxmlformats.org/officeDocument/2006/relationships/image" Target="media/image34.jpeg"/><Relationship Id="rId42" Type="http://schemas.openxmlformats.org/officeDocument/2006/relationships/image" Target="media/image33.jpeg"/><Relationship Id="rId41" Type="http://schemas.openxmlformats.org/officeDocument/2006/relationships/image" Target="media/image32.jpeg"/><Relationship Id="rId40" Type="http://schemas.openxmlformats.org/officeDocument/2006/relationships/image" Target="media/image31.jpeg"/><Relationship Id="rId4" Type="http://schemas.openxmlformats.org/officeDocument/2006/relationships/endnotes" Target="endnotes.xml"/><Relationship Id="rId39" Type="http://schemas.openxmlformats.org/officeDocument/2006/relationships/image" Target="media/image30.png"/><Relationship Id="rId38" Type="http://schemas.openxmlformats.org/officeDocument/2006/relationships/image" Target="media/image29.jpeg"/><Relationship Id="rId37" Type="http://schemas.openxmlformats.org/officeDocument/2006/relationships/image" Target="media/image28.png"/><Relationship Id="rId36" Type="http://schemas.openxmlformats.org/officeDocument/2006/relationships/image" Target="media/image27.jpeg"/><Relationship Id="rId35" Type="http://schemas.openxmlformats.org/officeDocument/2006/relationships/image" Target="media/image26.png"/><Relationship Id="rId34" Type="http://schemas.openxmlformats.org/officeDocument/2006/relationships/image" Target="media/image25.jpeg"/><Relationship Id="rId33" Type="http://schemas.openxmlformats.org/officeDocument/2006/relationships/image" Target="media/image24.jpeg"/><Relationship Id="rId32" Type="http://schemas.openxmlformats.org/officeDocument/2006/relationships/image" Target="media/image23.jpeg"/><Relationship Id="rId31" Type="http://schemas.openxmlformats.org/officeDocument/2006/relationships/image" Target="media/image22.jpe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jpeg"/><Relationship Id="rId25" Type="http://schemas.openxmlformats.org/officeDocument/2006/relationships/image" Target="media/image16.jpeg"/><Relationship Id="rId24" Type="http://schemas.openxmlformats.org/officeDocument/2006/relationships/image" Target="media/image15.jpeg"/><Relationship Id="rId23" Type="http://schemas.openxmlformats.org/officeDocument/2006/relationships/image" Target="media/image14.jpeg"/><Relationship Id="rId22" Type="http://schemas.openxmlformats.org/officeDocument/2006/relationships/image" Target="media/image13.png"/><Relationship Id="rId21" Type="http://schemas.openxmlformats.org/officeDocument/2006/relationships/image" Target="media/image12.jpeg"/><Relationship Id="rId20" Type="http://schemas.openxmlformats.org/officeDocument/2006/relationships/image" Target="media/image11.jpe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jpeg"/><Relationship Id="rId16" Type="http://schemas.openxmlformats.org/officeDocument/2006/relationships/image" Target="media/image7.png"/><Relationship Id="rId15" Type="http://schemas.openxmlformats.org/officeDocument/2006/relationships/image" Target="media/image6.jpeg"/><Relationship Id="rId14" Type="http://schemas.openxmlformats.org/officeDocument/2006/relationships/image" Target="media/image5.jpeg"/><Relationship Id="rId13" Type="http://schemas.openxmlformats.org/officeDocument/2006/relationships/image" Target="media/image4.jpeg"/><Relationship Id="rId12" Type="http://schemas.openxmlformats.org/officeDocument/2006/relationships/image" Target="media/image3.jpeg"/><Relationship Id="rId11" Type="http://schemas.openxmlformats.org/officeDocument/2006/relationships/image" Target="media/image2.jpeg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0"/>
    <customShpInfo spid="_x0000_s2051"/>
    <customShpInfo spid="_x0000_s1027"/>
    <customShpInfo spid="_x0000_s1028"/>
    <customShpInfo spid="_x0000_s1026"/>
    <customShpInfo spid="_x0000_s1029"/>
    <customShpInfo spid="_x0000_s1030"/>
    <customShpInfo spid="_x0000_s1032"/>
    <customShpInfo spid="_x0000_s1033"/>
    <customShpInfo spid="_x0000_s1031"/>
    <customShpInfo spid="_x0000_s1034"/>
    <customShpInfo spid="_x0000_s1035"/>
    <customShpInfo spid="_x0000_s1037"/>
    <customShpInfo spid="_x0000_s1038"/>
    <customShpInfo spid="_x0000_s1036"/>
    <customShpInfo spid="_x0000_s1040"/>
    <customShpInfo spid="_x0000_s1041"/>
    <customShpInfo spid="_x0000_s1039"/>
    <customShpInfo spid="_x0000_s1043"/>
    <customShpInfo spid="_x0000_s1044"/>
    <customShpInfo spid="_x0000_s1042"/>
    <customShpInfo spid="_x0000_s1046"/>
    <customShpInfo spid="_x0000_s1047"/>
    <customShpInfo spid="_x0000_s1045"/>
    <customShpInfo spid="_x0000_s1049"/>
    <customShpInfo spid="_x0000_s1050"/>
    <customShpInfo spid="_x0000_s104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Office_12.1.0.16388_F1E327BC-269C-435d-A152-05C5408002CA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2024-02-27T10:40:00Z</dcterms:created>
  <dc:creator>Kingsoft-PDF</dc:creator>
  <cp:lastModifiedBy>秋秋</cp:lastModifiedBy>
  <dcterms:modified xsi:type="dcterms:W3CDTF">2024-02-27T02:41:06Z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2024-02-27T10:40:53Z</vt:filetime>
  </property>
  <property fmtid="{D5CDD505-2E9C-101B-9397-08002B2CF9AE}" pid="4" name="UsrData">
    <vt:lpwstr>65dd4ba15db6e0001f6b2f4bwl</vt:lpwstr>
  </property>
  <property fmtid="{D5CDD505-2E9C-101B-9397-08002B2CF9AE}" pid="5" name="KSOProductBuildVer">
    <vt:lpwstr>2052-12.1.0.16388</vt:lpwstr>
  </property>
  <property fmtid="{D5CDD505-2E9C-101B-9397-08002B2CF9AE}" pid="6" name="ICV">
    <vt:lpwstr>21EC177C35DC44D98544DF8C1B4C2CEF_13</vt:lpwstr>
  </property>
</Properties>
</file>